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96" w:rsidRDefault="002E7796" w:rsidP="002E7796">
      <w:pPr>
        <w:pStyle w:val="NormalWeb"/>
        <w:spacing w:before="0" w:beforeAutospacing="0" w:after="0" w:afterAutospacing="0" w:line="324" w:lineRule="atLeast"/>
        <w:jc w:val="both"/>
        <w:textAlignment w:val="baseline"/>
        <w:rPr>
          <w:rStyle w:val="lev"/>
          <w:rFonts w:ascii="inherit" w:hAnsi="inherit" w:cs="Arial"/>
          <w:color w:val="555555"/>
          <w:sz w:val="22"/>
          <w:szCs w:val="22"/>
          <w:bdr w:val="none" w:sz="0" w:space="0" w:color="auto" w:frame="1"/>
        </w:rPr>
      </w:pPr>
      <w:r>
        <w:rPr>
          <w:rStyle w:val="lev"/>
          <w:rFonts w:ascii="inherit" w:hAnsi="inherit" w:cs="Arial"/>
          <w:color w:val="555555"/>
          <w:sz w:val="22"/>
          <w:szCs w:val="22"/>
          <w:bdr w:val="none" w:sz="0" w:space="0" w:color="auto" w:frame="1"/>
        </w:rPr>
        <w:t>Myriam STERNBERG</w:t>
      </w:r>
      <w:bookmarkStart w:id="0" w:name="_GoBack"/>
      <w:bookmarkEnd w:id="0"/>
    </w:p>
    <w:p w:rsidR="002E7796" w:rsidRDefault="002E7796" w:rsidP="002E7796">
      <w:pPr>
        <w:pStyle w:val="NormalWeb"/>
        <w:spacing w:before="0" w:beforeAutospacing="0" w:after="0" w:afterAutospacing="0" w:line="324" w:lineRule="atLeast"/>
        <w:jc w:val="both"/>
        <w:textAlignment w:val="baseline"/>
        <w:rPr>
          <w:rStyle w:val="lev"/>
          <w:rFonts w:ascii="inherit" w:hAnsi="inherit" w:cs="Arial"/>
          <w:color w:val="555555"/>
          <w:sz w:val="22"/>
          <w:szCs w:val="22"/>
          <w:bdr w:val="none" w:sz="0" w:space="0" w:color="auto" w:frame="1"/>
        </w:rPr>
      </w:pPr>
    </w:p>
    <w:p w:rsidR="002E7796" w:rsidRDefault="002E7796" w:rsidP="002E7796">
      <w:pPr>
        <w:pStyle w:val="NormalWeb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Style w:val="lev"/>
          <w:rFonts w:ascii="inherit" w:hAnsi="inherit" w:cs="Arial"/>
          <w:color w:val="555555"/>
          <w:sz w:val="22"/>
          <w:szCs w:val="22"/>
          <w:bdr w:val="none" w:sz="0" w:space="0" w:color="auto" w:frame="1"/>
        </w:rPr>
        <w:t>Principales publications parues ou sous presse</w:t>
      </w:r>
    </w:p>
    <w:p w:rsidR="002E7796" w:rsidRDefault="002E7796" w:rsidP="002E7796">
      <w:pPr>
        <w:pStyle w:val="NormalWeb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« Résultats de l’étude d’un ensemble de restes de poissons retrouvés en contexte funéraire à Souk el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Guebli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Jerba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, Tunisie ; IIIe s. av./IIe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ap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.) ; synthèse et interprétation », dans S. Ben Tahar (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dir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.), La pêche à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Jerba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à l’époque punique : l’apport de l’archéologie, RSF (contribution remise le 26 août 2010, 10 pages, 8 figures), à paraître.</w:t>
      </w:r>
    </w:p>
    <w:p w:rsidR="002E7796" w:rsidRDefault="002E7796" w:rsidP="002E7796">
      <w:pPr>
        <w:pStyle w:val="NormalWeb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« Economie alimentaire et utilisation des animaux dans un quartier de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Montlaurès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aux VI e et V e s. av. J.-C. », dans C.- A. de Chazelles, D.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Ugolini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dir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.),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Montlaurès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(Narbonne, Aude). L’occupation de la fin du premier Âge du fer sur les versants sud et ouest de la colline. Editions Monique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Mergoil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 Montagnac (contribution remise le 29 mars 2010, 78 pages, 8 tableaux, 10 figures, 10 photos, 4 annexes), à paraître.</w:t>
      </w:r>
    </w:p>
    <w:p w:rsidR="002E7796" w:rsidRDefault="002E7796" w:rsidP="002E7796">
      <w:pPr>
        <w:pStyle w:val="NormalWeb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« Le poisson dans l’alimentation des moines de l’abbaye de Saint-Philibert de Tournus (XIIe-XVIe s.) : les données de l’archéo-ichtyologie », dans B. Saint-Jean-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Vitus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dir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.) : La cuisine de l’abbaye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Saint-Philbert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de Tournus (XIIe-XVIe siècles), Volume proposé à Archéologie Médiévale, (contribution remise le 15 oct. 2009, 63 pages, 14 tableaux, 6 figures, 5 photos, 2 annexes), à paraître.</w:t>
      </w:r>
    </w:p>
    <w:p w:rsidR="002E7796" w:rsidRDefault="002E7796" w:rsidP="002E7796">
      <w:pPr>
        <w:pStyle w:val="NormalWeb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« La pêche dans l’économie des sociétés du Bronze final au IIIe siècle de n.-è. de la Méditerranée occidentale : apport de l’archéo-ichtyologie », dans P.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Béarez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 S. Grouard, B. Clavel (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dir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.), Archéologie du poisson. 30 ans d’archéo-ichtyologie au CNRS. Hommage aux travaux de Jean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Desse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et Nathalie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Desse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-Berset. XXVIIIe rencontres internationales d’archéologie et d’histoire d’Antibes, 18-20 oct. 2007,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ed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 APDCA, Antibes, 2008, 369-378. (</w:t>
      </w:r>
      <w:hyperlink r:id="rId4" w:history="1">
        <w:r>
          <w:rPr>
            <w:rStyle w:val="Lienhypertexte"/>
            <w:rFonts w:ascii="inherit" w:hAnsi="inherit" w:cs="Arial"/>
            <w:color w:val="036BA8"/>
            <w:sz w:val="22"/>
            <w:szCs w:val="22"/>
            <w:bdr w:val="none" w:sz="0" w:space="0" w:color="auto" w:frame="1"/>
          </w:rPr>
          <w:t>http://www.cepam.cnrs.fr/spip.php?article1117</w:t>
        </w:r>
      </w:hyperlink>
      <w:r>
        <w:rPr>
          <w:rFonts w:ascii="Arial" w:hAnsi="Arial" w:cs="Arial"/>
          <w:color w:val="333333"/>
          <w:sz w:val="22"/>
          <w:szCs w:val="22"/>
        </w:rPr>
        <w:t> ).</w:t>
      </w:r>
    </w:p>
    <w:p w:rsidR="002E7796" w:rsidRDefault="002E7796" w:rsidP="002E7796">
      <w:pPr>
        <w:pStyle w:val="NormalWeb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« Pêche et exploitation des milieux aquatiques de la fin du VIIIe s. à la fin du VIe s. av. J.-C. dans la péninsule Ibérique : témoignages archéo-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ictyofauniques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des sites de la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Rabita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Guardamar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(Alicante) et de Castillo de Dona Blanca (Cadix) » dans J. Napoli (Ed.), Ressources et activités maritimes des peuples de l’Antiquité, Actes du Colloque international, Boulogne-sur-Mer, 12-14 mai 2005, 2008.</w:t>
      </w:r>
    </w:p>
    <w:p w:rsidR="002E7796" w:rsidRDefault="002E7796" w:rsidP="002E7796">
      <w:pPr>
        <w:pStyle w:val="NormalWeb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avec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D. Garcia « Le port protohistorique et romain de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Lattara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(Lattes, Hérault) : topographie et activités halieutiques », in : Relations, échanges et coopération en Méditerranée, 128e Congrès du CTHS, Bastia, 14-21 avril 2003, 2008 (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ed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électronique</w:t>
      </w:r>
      <w:proofErr w:type="gramEnd"/>
      <w:r>
        <w:rPr>
          <w:rFonts w:ascii="Arial" w:hAnsi="Arial" w:cs="Arial"/>
          <w:color w:val="333333"/>
          <w:sz w:val="22"/>
          <w:szCs w:val="22"/>
        </w:rPr>
        <w:t>).</w:t>
      </w:r>
    </w:p>
    <w:p w:rsidR="002E7796" w:rsidRDefault="002E7796" w:rsidP="002E7796">
      <w:pPr>
        <w:pStyle w:val="NormalWeb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avec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L. Slim, M. Bonifay, J. Piton « Les fabriques romaines de salaisons de poissons à Nabeul (Tunisie). Travaux 1999-2005 ». In : J. Napoli (Ed.), Ressources et activités maritimes des peuples de l’Antiquité, Actes du Colloque international, Boulogne-sur-Mer, 12-14 mai 2005, 2008.</w:t>
      </w:r>
    </w:p>
    <w:p w:rsidR="002E7796" w:rsidRDefault="002E7796" w:rsidP="002E7796">
      <w:pPr>
        <w:pStyle w:val="NormalWeb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avec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E.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Delaval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dir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.), Garum et pissalat , De la pêche à la table, mémoires d’une tradition, Catalogue du Musée d’Archéologie, Antibes,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ed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Snoeck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 2007, 95 p. (</w:t>
      </w:r>
      <w:hyperlink r:id="rId5" w:history="1">
        <w:r>
          <w:rPr>
            <w:rStyle w:val="Lienhypertexte"/>
            <w:rFonts w:ascii="inherit" w:hAnsi="inherit" w:cs="Arial"/>
            <w:color w:val="036BA8"/>
            <w:sz w:val="22"/>
            <w:szCs w:val="22"/>
            <w:bdr w:val="none" w:sz="0" w:space="0" w:color="auto" w:frame="1"/>
          </w:rPr>
          <w:t>http://www.evene.fr/culture/agenda/garum-et-pissalat-18581.php</w:t>
        </w:r>
      </w:hyperlink>
      <w:r>
        <w:rPr>
          <w:rFonts w:ascii="Arial" w:hAnsi="Arial" w:cs="Arial"/>
          <w:color w:val="333333"/>
          <w:sz w:val="22"/>
          <w:szCs w:val="22"/>
        </w:rPr>
        <w:t> et </w:t>
      </w:r>
      <w:hyperlink r:id="rId6" w:history="1">
        <w:r>
          <w:rPr>
            <w:rStyle w:val="Lienhypertexte"/>
            <w:rFonts w:ascii="inherit" w:hAnsi="inherit" w:cs="Arial"/>
            <w:color w:val="036BA8"/>
            <w:sz w:val="22"/>
            <w:szCs w:val="22"/>
            <w:bdr w:val="none" w:sz="0" w:space="0" w:color="auto" w:frame="1"/>
          </w:rPr>
          <w:t>http://www.snoeckpublishers.be/usite/snoeckpub_nlbe/index.asp?p=875&amp;c=T6&amp;i=160</w:t>
        </w:r>
      </w:hyperlink>
      <w:r>
        <w:rPr>
          <w:rFonts w:ascii="Arial" w:hAnsi="Arial" w:cs="Arial"/>
          <w:color w:val="333333"/>
          <w:sz w:val="22"/>
          <w:szCs w:val="22"/>
        </w:rPr>
        <w:t>)</w:t>
      </w:r>
    </w:p>
    <w:p w:rsidR="002E7796" w:rsidRDefault="002E7796" w:rsidP="002E7796">
      <w:pPr>
        <w:pStyle w:val="NormalWeb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« Pêche et exploitation des milieux aquatiques du VIIIe s. au VI e s. av. n.-è. à la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Rabita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Guardamar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 », in : P.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Rouillard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, E.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Gailledrat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et F. Sala Sellés (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dir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.), Fouilles de la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Rabita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lastRenderedPageBreak/>
        <w:t>Guardamar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II. L’établissement protohistorique de la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Fonteta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(fin VIIIe-fin VIe s. av.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J.-C. )</w:t>
      </w:r>
      <w:proofErr w:type="gramEnd"/>
      <w:r>
        <w:rPr>
          <w:rFonts w:ascii="Arial" w:hAnsi="Arial" w:cs="Arial"/>
          <w:color w:val="333333"/>
          <w:sz w:val="22"/>
          <w:szCs w:val="22"/>
        </w:rPr>
        <w:t>, Collection de la Casa de Velasquez, vol. 96, 2007, 372-398.</w:t>
      </w:r>
    </w:p>
    <w:p w:rsidR="002E7796" w:rsidRDefault="002E7796" w:rsidP="002E7796">
      <w:pPr>
        <w:pStyle w:val="NormalWeb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« Les poissons. » in : M. Bats (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dir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.) : L’îlot VI d’Olbia de Provence (fouilles 1982-1989), chap. X, Etudes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Massaliètes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9, 2006, 431-449.</w:t>
      </w:r>
    </w:p>
    <w:p w:rsidR="002E7796" w:rsidRDefault="002E7796" w:rsidP="002E7796">
      <w:pPr>
        <w:pStyle w:val="NormalWeb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« Peut-on parler de spécialisation pour la pêche en Méditerranée du Bronze final à l’époque Républicaine ? » in : A.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Averbouh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, P. Brun, C.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Karlin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, S.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Méry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, P. de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Miroschedji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 Actes de la table-ronde « Spécialisation des tâche et société », Technique et Culture, 2006, 62-78.</w:t>
      </w:r>
    </w:p>
    <w:p w:rsidR="002E7796" w:rsidRDefault="002E7796" w:rsidP="002E7796">
      <w:pPr>
        <w:pStyle w:val="NormalWeb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Arial" w:hAnsi="Arial" w:cs="Arial"/>
          <w:color w:val="333333"/>
          <w:sz w:val="22"/>
          <w:szCs w:val="22"/>
        </w:rPr>
        <w:t>avec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A. Barbet, Fl. Monnier, J.-P. Bost, Peintures de Périgueux. Edifice de la rue des Bouquets ou la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Domus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Vésone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. II- Les peintures fragmentaires,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Aquitania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 XX, 2004, 150-219.</w:t>
      </w:r>
    </w:p>
    <w:p w:rsidR="002E7796" w:rsidRDefault="002E7796" w:rsidP="002E7796">
      <w:pPr>
        <w:pStyle w:val="NormalWeb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"La pêche à l’Age du Bronze : les données archéo-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ichtyofauniques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de l’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Abion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(Martigues, B-d-R) et de Tonnerre I (Mauguio, Hérault)". Documents d’Archéologie Méridionale, 27, </w:t>
      </w:r>
      <w:proofErr w:type="gramStart"/>
      <w:r>
        <w:rPr>
          <w:rFonts w:ascii="Arial" w:hAnsi="Arial" w:cs="Arial"/>
          <w:color w:val="333333"/>
          <w:sz w:val="22"/>
          <w:szCs w:val="22"/>
        </w:rPr>
        <w:t>2004 ,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171-196.</w:t>
      </w:r>
      <w:r>
        <w:rPr>
          <w:rFonts w:ascii="Arial" w:hAnsi="Arial" w:cs="Arial"/>
          <w:color w:val="333333"/>
          <w:sz w:val="22"/>
          <w:szCs w:val="22"/>
        </w:rPr>
        <w:br/>
        <w:t>(</w:t>
      </w:r>
      <w:hyperlink r:id="rId7" w:history="1">
        <w:r>
          <w:rPr>
            <w:rStyle w:val="Lienhypertexte"/>
            <w:rFonts w:ascii="inherit" w:hAnsi="inherit" w:cs="Arial"/>
            <w:color w:val="036BA8"/>
            <w:sz w:val="22"/>
            <w:szCs w:val="22"/>
            <w:bdr w:val="none" w:sz="0" w:space="0" w:color="auto" w:frame="1"/>
          </w:rPr>
          <w:t>http://cat.inist.fr/?aModele=afficheN&amp;cpsidt=16346443</w:t>
        </w:r>
      </w:hyperlink>
      <w:r>
        <w:rPr>
          <w:rFonts w:ascii="Arial" w:hAnsi="Arial" w:cs="Arial"/>
          <w:color w:val="333333"/>
          <w:sz w:val="22"/>
          <w:szCs w:val="22"/>
        </w:rPr>
        <w:t>).</w:t>
      </w:r>
    </w:p>
    <w:p w:rsidR="002E7796" w:rsidRDefault="002E7796" w:rsidP="002E7796">
      <w:pPr>
        <w:pStyle w:val="NormalWeb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"Le rôle des fleuves dans la pêche du Ier au VIe s. : état des connaissances", dans J. Burnouf et Ph.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Leveau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 Fleuves et marais, une histoire au croisement de la nature et de la culture, CTHS, Archéologie et Histoire de l’Art 19, 2004, 185-199.</w:t>
      </w:r>
    </w:p>
    <w:p w:rsidR="002E7796" w:rsidRDefault="002E7796" w:rsidP="002E7796">
      <w:pPr>
        <w:pStyle w:val="NormalWeb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"L’Ile Verte (La Ciotat). Le rôle de la pêche : contribution des études d’ichtyofaune" dans M. </w:t>
      </w:r>
      <w:proofErr w:type="spellStart"/>
      <w:proofErr w:type="gramStart"/>
      <w:r>
        <w:rPr>
          <w:rFonts w:ascii="Arial" w:hAnsi="Arial" w:cs="Arial"/>
          <w:color w:val="333333"/>
          <w:sz w:val="22"/>
          <w:szCs w:val="22"/>
        </w:rPr>
        <w:t>Pasqualini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color w:val="333333"/>
          <w:sz w:val="22"/>
          <w:szCs w:val="22"/>
        </w:rPr>
        <w:t xml:space="preserve"> P. Arnaud et C.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Varaldo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dir</w:t>
      </w:r>
      <w:proofErr w:type="spellEnd"/>
      <w:r>
        <w:rPr>
          <w:rFonts w:ascii="Arial" w:hAnsi="Arial" w:cs="Arial"/>
          <w:color w:val="333333"/>
          <w:sz w:val="22"/>
          <w:szCs w:val="22"/>
        </w:rPr>
        <w:t>.), Des iles côte à côte. Histoire du peuplement des îles de l’Antiquité au Moyen-Age (Provence, Alpes-Maritimes, Ligurie, Toscane). Actes de la table-ronde de Bordighera, supplément au Bulletin Archéologique de Provence, 1, 2003, pp. 111-115.</w:t>
      </w:r>
    </w:p>
    <w:p w:rsidR="002E7796" w:rsidRDefault="002E7796" w:rsidP="002E7796">
      <w:pPr>
        <w:pStyle w:val="NormalWeb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"La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mer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nourricière, pêche et infrastructures portuaires du IIIème s. av. n.-è. au IIème s. de n.-è. : le cas de Lattes",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Lattara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 15, 2002, pp. 189-202.</w:t>
      </w:r>
    </w:p>
    <w:p w:rsidR="002E7796" w:rsidRDefault="002E7796" w:rsidP="002E7796">
      <w:pPr>
        <w:pStyle w:val="NormalWeb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"Exploitation des mouvements migratoires et déplacement des populations piscicoles par l’homme, de l’âge du Fer à l’Antiquité", dans A.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Gardeisen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coord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., Mouvements ou déplacements de populations animales en Méditerranée au cours de l’Holocène, Séminaire de recherche, Lattes, 29 sept. 2000, British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Archaeological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Reports, S.1017, 2002, 97-103.</w:t>
      </w:r>
    </w:p>
    <w:p w:rsidR="002E7796" w:rsidRDefault="002E7796" w:rsidP="002E7796">
      <w:pPr>
        <w:pStyle w:val="NormalWeb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"Données sur les produits fabriqués dans une officine de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Neapolis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(Nabeul, Tunisie)", Mélanges de l’Ecole Française de Rome, Antiquité, 112, 2000, 135-153.</w:t>
      </w:r>
    </w:p>
    <w:p w:rsidR="002E7796" w:rsidRDefault="002E7796" w:rsidP="002E7796">
      <w:pPr>
        <w:pStyle w:val="NormalWeb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"Le faciès de la pêche au IVème s. av. J.-C. d’après l’ichtyofaune",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Lattara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 12, 1999, 589-608.</w:t>
      </w:r>
    </w:p>
    <w:p w:rsidR="002E7796" w:rsidRDefault="002E7796" w:rsidP="002E7796">
      <w:pPr>
        <w:pStyle w:val="NormalWeb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La pêche à Lattes dans l’Antiquité à travers l’analyse de l’ichtyofaune, Thèse de Doctorat,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Lattara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 n°8, 1995, 152 p.</w:t>
      </w:r>
    </w:p>
    <w:p w:rsidR="002E7796" w:rsidRDefault="002E7796" w:rsidP="002E7796">
      <w:pPr>
        <w:pStyle w:val="NormalWeb"/>
        <w:spacing w:before="0" w:beforeAutospacing="0" w:after="0" w:afterAutospacing="0" w:line="324" w:lineRule="atLeast"/>
        <w:jc w:val="both"/>
        <w:textAlignment w:val="baseline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 xml:space="preserve">Ostéologie du Loup,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Dicentrarchus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labrax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(L.), Fiches d’ostéologie animale pour l’archéologie (série A : Poissons), J.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Desse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et N. </w:t>
      </w:r>
      <w:proofErr w:type="spellStart"/>
      <w:r>
        <w:rPr>
          <w:rFonts w:ascii="Arial" w:hAnsi="Arial" w:cs="Arial"/>
          <w:color w:val="333333"/>
          <w:sz w:val="22"/>
          <w:szCs w:val="22"/>
        </w:rPr>
        <w:t>Desse</w:t>
      </w:r>
      <w:proofErr w:type="spellEnd"/>
      <w:r>
        <w:rPr>
          <w:rFonts w:ascii="Arial" w:hAnsi="Arial" w:cs="Arial"/>
          <w:color w:val="333333"/>
          <w:sz w:val="22"/>
          <w:szCs w:val="22"/>
        </w:rPr>
        <w:t>-Berset (éd.), APDCA, Juan-les-Pins, 1992.</w:t>
      </w:r>
    </w:p>
    <w:p w:rsidR="002E7796" w:rsidRDefault="002E7796"/>
    <w:sectPr w:rsidR="002E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96"/>
    <w:rsid w:val="002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B96FD"/>
  <w15:chartTrackingRefBased/>
  <w15:docId w15:val="{230B825E-379F-4902-BC33-E05A0E922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E779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E77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at.inist.fr/?aModele=afficheN&amp;cpsidt=163464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oeckpublishers.be/usite/snoeckpub_nlbe/index.asp?p=875&amp;c=T6&amp;i=160" TargetMode="External"/><Relationship Id="rId5" Type="http://schemas.openxmlformats.org/officeDocument/2006/relationships/hyperlink" Target="http://www.evene.fr/culture/agenda/garum-et-pissalat-18581.php" TargetMode="External"/><Relationship Id="rId4" Type="http://schemas.openxmlformats.org/officeDocument/2006/relationships/hyperlink" Target="http://www.cepam.cnrs.fr/spip.php?article111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943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 NEVES Gracinda</dc:creator>
  <cp:keywords/>
  <dc:description/>
  <cp:lastModifiedBy>Das NEVES Gracinda</cp:lastModifiedBy>
  <cp:revision>1</cp:revision>
  <dcterms:created xsi:type="dcterms:W3CDTF">2023-05-25T14:32:00Z</dcterms:created>
  <dcterms:modified xsi:type="dcterms:W3CDTF">2023-05-25T14:32:00Z</dcterms:modified>
</cp:coreProperties>
</file>