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AC" w:rsidRDefault="001D6D87">
      <w:pPr>
        <w:pStyle w:val="Heading1"/>
        <w:jc w:val="center"/>
        <w:rPr>
          <w:rFonts w:ascii="Times New Roman" w:hAnsi="Times New Roman" w:cs="Times New Roman"/>
          <w:color w:val="00000A"/>
          <w:lang w:val="fr-FR" w:eastAsia="zh-CN"/>
        </w:rPr>
      </w:pPr>
      <w:r>
        <w:rPr>
          <w:rFonts w:ascii="Times New Roman" w:hAnsi="Times New Roman" w:cs="Times New Roman"/>
          <w:color w:val="00000A"/>
          <w:lang w:val="fr-FR" w:eastAsia="zh-CN"/>
        </w:rPr>
        <w:t>Liste des publications</w:t>
      </w:r>
    </w:p>
    <w:p w:rsidR="00E073AC" w:rsidRDefault="00E073AC">
      <w:pPr>
        <w:jc w:val="center"/>
        <w:rPr>
          <w:rFonts w:ascii="Times New Roman" w:hAnsi="Times New Roman" w:cs="Times New Roman"/>
          <w:b/>
          <w:smallCaps/>
          <w:lang w:val="fr-FR" w:eastAsia="zh-CN"/>
        </w:rPr>
      </w:pPr>
    </w:p>
    <w:p w:rsidR="00E073AC" w:rsidRDefault="001D6D87">
      <w:pPr>
        <w:jc w:val="center"/>
        <w:rPr>
          <w:rFonts w:ascii="Times New Roman" w:hAnsi="Times New Roman" w:cs="Times New Roman"/>
          <w:lang w:val="fr-FR" w:eastAsia="zh-CN"/>
        </w:rPr>
      </w:pPr>
      <w:r>
        <w:rPr>
          <w:rFonts w:ascii="Times New Roman" w:hAnsi="Times New Roman" w:cs="Times New Roman"/>
          <w:lang w:val="fr-FR" w:eastAsia="zh-CN"/>
        </w:rPr>
        <w:t>Reine-Marie Bérard</w:t>
      </w:r>
    </w:p>
    <w:p w:rsidR="00E073AC" w:rsidRDefault="00E073AC">
      <w:pPr>
        <w:rPr>
          <w:rFonts w:ascii="Times New Roman" w:eastAsia="SimSun" w:hAnsi="Times New Roman" w:cs="Times New Roman"/>
          <w:lang w:val="fr-FR" w:eastAsia="zh-CN"/>
        </w:rPr>
      </w:pPr>
    </w:p>
    <w:p w:rsidR="00E073AC" w:rsidRDefault="001D6D87">
      <w:pPr>
        <w:numPr>
          <w:ilvl w:val="0"/>
          <w:numId w:val="1"/>
        </w:numPr>
        <w:suppressAutoHyphens/>
        <w:spacing w:before="160" w:line="360" w:lineRule="auto"/>
        <w:jc w:val="both"/>
        <w:rPr>
          <w:rFonts w:ascii="Times New Roman" w:hAnsi="Times New Roman" w:cs="Times New Roman"/>
          <w:b/>
          <w:bCs/>
          <w:i/>
          <w:lang w:val="fr-FR"/>
        </w:rPr>
      </w:pPr>
      <w:r>
        <w:rPr>
          <w:rFonts w:ascii="Times New Roman" w:hAnsi="Times New Roman" w:cs="Times New Roman"/>
          <w:b/>
          <w:bCs/>
          <w:i/>
          <w:lang w:val="fr-FR"/>
        </w:rPr>
        <w:t xml:space="preserve">Livres </w:t>
      </w:r>
    </w:p>
    <w:p w:rsidR="00E073AC" w:rsidRDefault="001D6D87">
      <w:pPr>
        <w:suppressAutoHyphens/>
        <w:spacing w:before="160"/>
        <w:ind w:left="709" w:hanging="709"/>
        <w:jc w:val="both"/>
        <w:rPr>
          <w:rFonts w:ascii="Times New Roman" w:hAnsi="Times New Roman" w:cs="Times New Roman"/>
          <w:lang w:val="fr-FR"/>
        </w:rPr>
      </w:pPr>
      <w:r w:rsidRPr="00162388">
        <w:rPr>
          <w:rFonts w:ascii="Times New Roman" w:hAnsi="Times New Roman" w:cs="Times New Roman"/>
          <w:b/>
          <w:lang w:val="it-IT"/>
        </w:rPr>
        <w:t> </w:t>
      </w:r>
      <w:r w:rsidRPr="00162388">
        <w:rPr>
          <w:rFonts w:ascii="Times New Roman" w:hAnsi="Times New Roman" w:cs="Times New Roman"/>
          <w:b/>
          <w:bCs/>
          <w:smallCaps/>
          <w:lang w:val="it-IT"/>
        </w:rPr>
        <w:t>Bérard</w:t>
      </w:r>
      <w:r w:rsidRPr="00162388">
        <w:rPr>
          <w:rFonts w:ascii="Times New Roman" w:hAnsi="Times New Roman" w:cs="Times New Roman"/>
          <w:b/>
          <w:bCs/>
          <w:lang w:val="it-IT"/>
        </w:rPr>
        <w:t xml:space="preserve"> R.-M.</w:t>
      </w:r>
      <w:r w:rsidRPr="00162388">
        <w:rPr>
          <w:rFonts w:ascii="Times New Roman" w:hAnsi="Times New Roman" w:cs="Times New Roman"/>
          <w:bCs/>
          <w:lang w:val="it-IT"/>
        </w:rPr>
        <w:t xml:space="preserve"> - </w:t>
      </w:r>
      <w:r w:rsidRPr="00162388">
        <w:rPr>
          <w:rFonts w:ascii="Times New Roman" w:hAnsi="Times New Roman" w:cs="Times New Roman"/>
          <w:i/>
          <w:lang w:val="it-IT"/>
        </w:rPr>
        <w:t xml:space="preserve">Mégara Hyblaea 6. </w:t>
      </w:r>
      <w:r>
        <w:rPr>
          <w:rFonts w:ascii="Times New Roman" w:hAnsi="Times New Roman" w:cs="Times New Roman"/>
          <w:i/>
          <w:lang w:val="fr-FR"/>
        </w:rPr>
        <w:t>La nécropole méridionale de la cité archaïque. 2. Archéologie et histoire sociale des rituels funéraires</w:t>
      </w:r>
      <w:r>
        <w:rPr>
          <w:rFonts w:ascii="Times New Roman" w:hAnsi="Times New Roman" w:cs="Times New Roman"/>
          <w:lang w:val="fr-FR"/>
        </w:rPr>
        <w:t xml:space="preserve">, Rome, École française de Rome, 2017. </w:t>
      </w:r>
    </w:p>
    <w:p w:rsidR="00E073AC" w:rsidRDefault="001D6D87">
      <w:pPr>
        <w:suppressAutoHyphens/>
        <w:spacing w:before="160"/>
        <w:ind w:left="709" w:hanging="709"/>
        <w:jc w:val="both"/>
        <w:rPr>
          <w:rFonts w:ascii="Times New Roman" w:hAnsi="Times New Roman" w:cs="Times New Roman"/>
          <w:bCs/>
          <w:lang w:val="fr-FR"/>
        </w:rPr>
      </w:pPr>
      <w:r>
        <w:rPr>
          <w:rFonts w:ascii="Times New Roman" w:hAnsi="Times New Roman" w:cs="Times New Roman"/>
          <w:bCs/>
          <w:lang w:val="fr-FR"/>
        </w:rPr>
        <w:t>[En préparation</w:t>
      </w:r>
      <w:r>
        <w:rPr>
          <w:rFonts w:ascii="Times New Roman" w:hAnsi="Times New Roman" w:cs="Times New Roman"/>
          <w:lang w:val="fr-FR"/>
        </w:rPr>
        <w:t>] </w:t>
      </w:r>
      <w:r>
        <w:rPr>
          <w:rFonts w:ascii="Times New Roman" w:hAnsi="Times New Roman" w:cs="Times New Roman"/>
          <w:i/>
          <w:lang w:val="fr-FR"/>
        </w:rPr>
        <w:t>:</w:t>
      </w:r>
      <w:r>
        <w:rPr>
          <w:rFonts w:ascii="Times New Roman" w:hAnsi="Times New Roman" w:cs="Times New Roman"/>
          <w:b/>
          <w:bCs/>
          <w:smallCaps/>
          <w:lang w:val="fr-FR"/>
        </w:rPr>
        <w:t xml:space="preserve"> Bérard</w:t>
      </w:r>
      <w:r>
        <w:rPr>
          <w:rFonts w:ascii="Times New Roman" w:hAnsi="Times New Roman" w:cs="Times New Roman"/>
          <w:b/>
          <w:bCs/>
          <w:lang w:val="fr-FR"/>
        </w:rPr>
        <w:t xml:space="preserve"> R.-M. (dir.)</w:t>
      </w:r>
      <w:r>
        <w:rPr>
          <w:rFonts w:ascii="Times New Roman" w:hAnsi="Times New Roman" w:cs="Times New Roman"/>
          <w:bCs/>
          <w:lang w:val="fr-FR"/>
        </w:rPr>
        <w:t xml:space="preserve"> – </w:t>
      </w:r>
      <w:r>
        <w:rPr>
          <w:rFonts w:ascii="Times New Roman" w:hAnsi="Times New Roman" w:cs="Times New Roman"/>
          <w:i/>
          <w:lang w:val="fr-FR" w:eastAsia="zh-CN"/>
        </w:rPr>
        <w:t>Le droit à la sépulture dans la Méditerranée antique. Actes des rencontres tenues à l’</w:t>
      </w:r>
      <w:r>
        <w:rPr>
          <w:rFonts w:ascii="Times New Roman" w:hAnsi="Times New Roman" w:cs="Times New Roman"/>
          <w:i/>
          <w:lang w:val="fr-FR"/>
        </w:rPr>
        <w:t>É</w:t>
      </w:r>
      <w:r>
        <w:rPr>
          <w:rFonts w:ascii="Times New Roman" w:hAnsi="Times New Roman" w:cs="Times New Roman"/>
          <w:i/>
          <w:lang w:val="fr-FR" w:eastAsia="zh-CN"/>
        </w:rPr>
        <w:t>cole française de Rome (2015-2017)</w:t>
      </w:r>
    </w:p>
    <w:p w:rsidR="00E073AC" w:rsidRDefault="001D6D87">
      <w:pPr>
        <w:suppressAutoHyphens/>
        <w:spacing w:before="160"/>
        <w:ind w:left="709" w:hanging="1"/>
        <w:jc w:val="both"/>
        <w:rPr>
          <w:rFonts w:ascii="Times New Roman" w:hAnsi="Times New Roman" w:cs="Times New Roman"/>
          <w:bCs/>
          <w:sz w:val="20"/>
          <w:szCs w:val="20"/>
          <w:lang w:val="fr-FR"/>
        </w:rPr>
      </w:pPr>
      <w:r>
        <w:rPr>
          <w:rFonts w:ascii="Times New Roman" w:hAnsi="Times New Roman" w:cs="Times New Roman"/>
          <w:bCs/>
          <w:sz w:val="20"/>
          <w:szCs w:val="20"/>
          <w:lang w:val="fr-FR"/>
        </w:rPr>
        <w:t>Le projet a reçu l’accord de principe du directeur des études antiques de l’EFR Nicolas Laubry pour une publication dans la Collection de l’École française de Rome en 2018, sous réserve de validation par le comité scientifique de l’EFR </w:t>
      </w:r>
    </w:p>
    <w:p w:rsidR="00E073AC" w:rsidRDefault="00E073AC">
      <w:pPr>
        <w:suppressAutoHyphens/>
        <w:spacing w:before="160"/>
        <w:ind w:left="709" w:hanging="1"/>
        <w:jc w:val="both"/>
        <w:rPr>
          <w:rFonts w:ascii="Times New Roman" w:hAnsi="Times New Roman" w:cs="Times New Roman"/>
          <w:bCs/>
          <w:lang w:val="fr-FR"/>
        </w:rPr>
      </w:pPr>
    </w:p>
    <w:p w:rsidR="00E073AC" w:rsidRDefault="001D6D87">
      <w:pPr>
        <w:numPr>
          <w:ilvl w:val="0"/>
          <w:numId w:val="1"/>
        </w:numPr>
        <w:suppressAutoHyphens/>
        <w:spacing w:before="160" w:line="360" w:lineRule="auto"/>
        <w:jc w:val="both"/>
        <w:rPr>
          <w:rFonts w:ascii="Times New Roman" w:hAnsi="Times New Roman" w:cs="Times New Roman"/>
          <w:b/>
          <w:bCs/>
          <w:i/>
          <w:lang w:val="fr-FR"/>
        </w:rPr>
      </w:pPr>
      <w:r>
        <w:rPr>
          <w:rFonts w:ascii="Times New Roman" w:hAnsi="Times New Roman" w:cs="Times New Roman"/>
          <w:b/>
          <w:bCs/>
          <w:i/>
          <w:lang w:val="fr-FR"/>
        </w:rPr>
        <w:t xml:space="preserve">Chapitres dans des ouvrages collectifs </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Espaces funéraires et statuts dans les colonies grecques à l’époque archaïque ». Dans : </w:t>
      </w:r>
      <w:r>
        <w:rPr>
          <w:rFonts w:ascii="Times New Roman" w:hAnsi="Times New Roman" w:cs="Times New Roman"/>
          <w:bCs/>
          <w:smallCaps/>
          <w:lang w:val="fr-FR"/>
        </w:rPr>
        <w:t>Müller C</w:t>
      </w:r>
      <w:r>
        <w:rPr>
          <w:rFonts w:ascii="Times New Roman" w:hAnsi="Times New Roman" w:cs="Times New Roman"/>
          <w:bCs/>
          <w:lang w:val="fr-FR"/>
        </w:rPr>
        <w:t xml:space="preserve">. et </w:t>
      </w:r>
      <w:r>
        <w:rPr>
          <w:rFonts w:ascii="Times New Roman" w:hAnsi="Times New Roman" w:cs="Times New Roman"/>
          <w:bCs/>
          <w:smallCaps/>
          <w:lang w:val="fr-FR"/>
        </w:rPr>
        <w:t xml:space="preserve">C. Moatti </w:t>
      </w:r>
      <w:r>
        <w:rPr>
          <w:rFonts w:ascii="Times New Roman" w:hAnsi="Times New Roman" w:cs="Times New Roman"/>
          <w:bCs/>
          <w:lang w:val="fr-FR"/>
        </w:rPr>
        <w:t xml:space="preserve">(dir.) – </w:t>
      </w:r>
      <w:r>
        <w:rPr>
          <w:rFonts w:ascii="Times New Roman" w:hAnsi="Times New Roman" w:cs="Times New Roman"/>
          <w:bCs/>
          <w:i/>
          <w:lang w:val="fr-FR"/>
        </w:rPr>
        <w:t>L’espace à l’épreuve des statuts : questions grecques et romaines</w:t>
      </w:r>
      <w:r>
        <w:rPr>
          <w:rFonts w:ascii="Times New Roman" w:hAnsi="Times New Roman" w:cs="Times New Roman"/>
          <w:bCs/>
          <w:lang w:val="fr-FR"/>
        </w:rPr>
        <w:t xml:space="preserve">, Paris, Publications de la MAE, 2018, p. 107-126. </w:t>
      </w:r>
    </w:p>
    <w:p w:rsidR="00E073AC" w:rsidRDefault="001D6D87">
      <w:pPr>
        <w:suppressAutoHyphens/>
        <w:spacing w:before="160"/>
        <w:ind w:left="709" w:hanging="709"/>
        <w:jc w:val="both"/>
        <w:rPr>
          <w:rFonts w:ascii="Times New Roman" w:hAnsi="Times New Roman" w:cs="Times New Roman"/>
          <w:bCs/>
          <w:lang w:val="it-IT"/>
        </w:rPr>
      </w:pPr>
      <w:r>
        <w:rPr>
          <w:rFonts w:ascii="Times New Roman" w:hAnsi="Times New Roman" w:cs="Times New Roman"/>
          <w:b/>
          <w:bCs/>
          <w:smallCaps/>
          <w:lang w:val="it-IT"/>
        </w:rPr>
        <w:t>Bérard</w:t>
      </w:r>
      <w:r>
        <w:rPr>
          <w:rFonts w:ascii="Times New Roman" w:hAnsi="Times New Roman" w:cs="Times New Roman"/>
          <w:b/>
          <w:bCs/>
          <w:lang w:val="it-IT"/>
        </w:rPr>
        <w:t xml:space="preserve"> R.-M.</w:t>
      </w:r>
      <w:r>
        <w:rPr>
          <w:rFonts w:ascii="Times New Roman" w:hAnsi="Times New Roman" w:cs="Times New Roman"/>
          <w:bCs/>
          <w:lang w:val="it-IT"/>
        </w:rPr>
        <w:t xml:space="preserve"> – « </w:t>
      </w:r>
      <w:r>
        <w:rPr>
          <w:rFonts w:ascii="Times New Roman" w:hAnsi="Times New Roman" w:cs="Times New Roman"/>
          <w:lang w:val="it-IT"/>
        </w:rPr>
        <w:t>Thanatoarcheologia: nuovi metodi e approcci per lo studio delle necropoli magno-greche </w:t>
      </w:r>
      <w:r>
        <w:rPr>
          <w:rFonts w:ascii="Times New Roman" w:hAnsi="Times New Roman" w:cs="Times New Roman"/>
          <w:bCs/>
          <w:lang w:val="it-IT"/>
        </w:rPr>
        <w:t xml:space="preserve">». Dans : </w:t>
      </w:r>
      <w:r>
        <w:rPr>
          <w:rFonts w:ascii="Times New Roman" w:hAnsi="Times New Roman" w:cs="Times New Roman"/>
          <w:bCs/>
          <w:smallCaps/>
          <w:lang w:val="it-IT"/>
        </w:rPr>
        <w:t>Niola</w:t>
      </w:r>
      <w:r>
        <w:rPr>
          <w:rFonts w:ascii="Times New Roman" w:hAnsi="Times New Roman" w:cs="Times New Roman"/>
          <w:bCs/>
          <w:lang w:val="it-IT"/>
        </w:rPr>
        <w:t xml:space="preserve"> M. (dir.) – </w:t>
      </w:r>
      <w:r>
        <w:rPr>
          <w:rFonts w:ascii="Times New Roman" w:hAnsi="Times New Roman" w:cs="Times New Roman"/>
          <w:bCs/>
          <w:i/>
          <w:lang w:val="it-IT"/>
        </w:rPr>
        <w:t>Action painting : rito e arte nelle tombe di Paestum. Catalogo della mostra al Museo di Paestum</w:t>
      </w:r>
      <w:r>
        <w:rPr>
          <w:rFonts w:ascii="Times New Roman" w:hAnsi="Times New Roman" w:cs="Times New Roman"/>
          <w:bCs/>
          <w:lang w:val="it-IT"/>
        </w:rPr>
        <w:t xml:space="preserve">, Paestum, Museo archeologico di Paestum, 2017, p. 45-57. </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Cs/>
          <w:smallCaps/>
          <w:lang w:val="fr-FR"/>
        </w:rPr>
        <w:t>Duday</w:t>
      </w:r>
      <w:r>
        <w:rPr>
          <w:rFonts w:ascii="Times New Roman" w:hAnsi="Times New Roman" w:cs="Times New Roman"/>
          <w:bCs/>
          <w:lang w:val="fr-FR"/>
        </w:rPr>
        <w:t xml:space="preserve"> H., </w:t>
      </w:r>
      <w:r>
        <w:rPr>
          <w:rFonts w:ascii="Times New Roman" w:hAnsi="Times New Roman" w:cs="Times New Roman"/>
          <w:b/>
          <w:bCs/>
          <w:smallCaps/>
          <w:lang w:val="fr-FR"/>
        </w:rPr>
        <w:t>Bérard</w:t>
      </w:r>
      <w:r>
        <w:rPr>
          <w:rFonts w:ascii="Times New Roman" w:hAnsi="Times New Roman" w:cs="Times New Roman"/>
          <w:b/>
          <w:bCs/>
          <w:lang w:val="fr-FR"/>
        </w:rPr>
        <w:t xml:space="preserve"> R.-M., </w:t>
      </w:r>
      <w:r>
        <w:rPr>
          <w:rFonts w:ascii="Times New Roman" w:hAnsi="Times New Roman" w:cs="Times New Roman"/>
          <w:bCs/>
          <w:smallCaps/>
          <w:lang w:val="fr-FR"/>
        </w:rPr>
        <w:t>Sourisseau J.-C.</w:t>
      </w:r>
      <w:r>
        <w:rPr>
          <w:rFonts w:ascii="Times New Roman" w:hAnsi="Times New Roman" w:cs="Times New Roman"/>
          <w:b/>
          <w:bCs/>
          <w:lang w:val="fr-FR"/>
        </w:rPr>
        <w:t xml:space="preserve"> </w:t>
      </w:r>
      <w:r>
        <w:rPr>
          <w:rFonts w:ascii="Times New Roman" w:hAnsi="Times New Roman" w:cs="Times New Roman"/>
          <w:bCs/>
          <w:lang w:val="fr-FR"/>
        </w:rPr>
        <w:t xml:space="preserve"> – « Les vases en céramique utilisés comme réceptacles funéraires : sépultures primaires à inhumation ou dépôts secondaires à crémation ? Quelques réflexions à propos de la nécropole méridionale de Mégara Hyblaea. ». Dans : </w:t>
      </w:r>
      <w:r>
        <w:rPr>
          <w:rFonts w:ascii="Times New Roman" w:eastAsia="Times New Roman" w:hAnsi="Times New Roman" w:cs="Times New Roman"/>
          <w:smallCaps/>
          <w:lang w:val="fr-FR"/>
        </w:rPr>
        <w:t>Bouffier S</w:t>
      </w:r>
      <w:r>
        <w:rPr>
          <w:rFonts w:ascii="Times New Roman" w:eastAsia="Times New Roman" w:hAnsi="Times New Roman" w:cs="Times New Roman"/>
          <w:lang w:val="fr-FR"/>
        </w:rPr>
        <w:t xml:space="preserve">. et </w:t>
      </w:r>
      <w:r>
        <w:rPr>
          <w:rFonts w:ascii="Times New Roman" w:eastAsia="Times New Roman" w:hAnsi="Times New Roman" w:cs="Times New Roman"/>
          <w:smallCaps/>
          <w:lang w:val="fr-FR"/>
        </w:rPr>
        <w:t>A. Hermary</w:t>
      </w:r>
      <w:r>
        <w:rPr>
          <w:rFonts w:ascii="Times New Roman" w:eastAsia="Times New Roman" w:hAnsi="Times New Roman" w:cs="Times New Roman"/>
          <w:lang w:val="fr-FR"/>
        </w:rPr>
        <w:t xml:space="preserve"> (dir.), </w:t>
      </w:r>
      <w:r>
        <w:rPr>
          <w:rFonts w:ascii="Times New Roman" w:eastAsia="Times New Roman" w:hAnsi="Times New Roman" w:cs="Times New Roman"/>
          <w:i/>
          <w:lang w:val="fr-FR"/>
        </w:rPr>
        <w:t>L’Occident grec de Marseille à Mégara Hyblaea</w:t>
      </w:r>
      <w:r>
        <w:rPr>
          <w:rFonts w:ascii="Times New Roman" w:eastAsia="Times New Roman" w:hAnsi="Times New Roman" w:cs="Times New Roman"/>
          <w:lang w:val="fr-FR"/>
        </w:rPr>
        <w:t xml:space="preserve">, Paris-Aix en Provence, Errance-Centre Camille Jullian, 2013, p. 215-228. </w:t>
      </w:r>
    </w:p>
    <w:p w:rsidR="00E073AC" w:rsidRDefault="001D6D87">
      <w:pPr>
        <w:suppressAutoHyphens/>
        <w:spacing w:before="160"/>
        <w:ind w:left="709" w:hanging="709"/>
        <w:jc w:val="both"/>
        <w:rPr>
          <w:rFonts w:ascii="Times New Roman" w:hAnsi="Times New Roman" w:cs="Times New Roman"/>
          <w:bCs/>
          <w:lang w:val="fr-FR"/>
        </w:rPr>
      </w:pPr>
      <w:r>
        <w:rPr>
          <w:rFonts w:ascii="Times New Roman" w:hAnsi="Times New Roman" w:cs="Times New Roman"/>
          <w:bCs/>
          <w:lang w:val="fr-FR"/>
        </w:rPr>
        <w:t>[À paraître</w:t>
      </w:r>
      <w:r>
        <w:rPr>
          <w:rFonts w:ascii="Times New Roman" w:hAnsi="Times New Roman" w:cs="Times New Roman"/>
          <w:sz w:val="22"/>
          <w:szCs w:val="22"/>
          <w:lang w:val="fr-FR"/>
        </w:rPr>
        <w:t>]</w:t>
      </w:r>
      <w:r>
        <w:rPr>
          <w:rFonts w:ascii="Times New Roman" w:hAnsi="Times New Roman" w:cs="Times New Roman"/>
          <w:bCs/>
          <w:lang w:val="fr-FR"/>
        </w:rPr>
        <w:t xml:space="preserve"> : </w:t>
      </w:r>
      <w:r>
        <w:rPr>
          <w:rFonts w:ascii="Times New Roman" w:hAnsi="Times New Roman" w:cs="Times New Roman"/>
          <w:bCs/>
          <w:smallCaps/>
          <w:lang w:val="fr-FR"/>
        </w:rPr>
        <w:t>Duday</w:t>
      </w:r>
      <w:r>
        <w:rPr>
          <w:rFonts w:ascii="Times New Roman" w:hAnsi="Times New Roman" w:cs="Times New Roman"/>
          <w:bCs/>
          <w:lang w:val="fr-FR"/>
        </w:rPr>
        <w:t xml:space="preserve"> H., </w:t>
      </w: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La pathologie des sujets immatures dans la nécropole méridionale de Mégara Hyblaea (Sicile) ». </w:t>
      </w:r>
      <w:r>
        <w:rPr>
          <w:rFonts w:ascii="Times New Roman" w:hAnsi="Times New Roman" w:cs="Times New Roman"/>
          <w:bCs/>
          <w:lang w:val="it-IT"/>
        </w:rPr>
        <w:t xml:space="preserve">Dans : </w:t>
      </w:r>
      <w:r>
        <w:rPr>
          <w:rFonts w:ascii="Times New Roman" w:hAnsi="Times New Roman" w:cs="Times New Roman"/>
          <w:bCs/>
          <w:smallCaps/>
          <w:lang w:val="it-IT"/>
        </w:rPr>
        <w:t>Lambrugo</w:t>
      </w:r>
      <w:r>
        <w:rPr>
          <w:rFonts w:ascii="Times New Roman" w:hAnsi="Times New Roman" w:cs="Times New Roman"/>
          <w:bCs/>
          <w:lang w:val="it-IT"/>
        </w:rPr>
        <w:t xml:space="preserve"> C. (dir.) – </w:t>
      </w:r>
      <w:r>
        <w:rPr>
          <w:rFonts w:ascii="Times New Roman" w:eastAsia="Times New Roman" w:hAnsi="Times New Roman" w:cs="Times New Roman"/>
          <w:i/>
          <w:iCs/>
          <w:lang w:val="it-IT"/>
        </w:rPr>
        <w:t xml:space="preserve">Mors immatura. Lo stato di salute dell'infanzia nel mondo antico. </w:t>
      </w:r>
      <w:r>
        <w:rPr>
          <w:rFonts w:ascii="Times New Roman" w:eastAsia="Times New Roman" w:hAnsi="Times New Roman" w:cs="Times New Roman"/>
          <w:lang w:val="fr-FR"/>
        </w:rPr>
        <w:t>All'Insegna del Giglio (Collana Materia &amp; Arte)</w:t>
      </w:r>
      <w:r>
        <w:rPr>
          <w:rFonts w:ascii="Times New Roman" w:hAnsi="Times New Roman" w:cs="Times New Roman"/>
          <w:sz w:val="22"/>
          <w:szCs w:val="22"/>
          <w:lang w:val="fr-FR"/>
        </w:rPr>
        <w:t xml:space="preserve">. </w:t>
      </w:r>
    </w:p>
    <w:p w:rsidR="00E073AC" w:rsidRDefault="001D6D87">
      <w:pPr>
        <w:suppressAutoHyphens/>
        <w:spacing w:before="160"/>
        <w:ind w:left="709" w:hanging="709"/>
        <w:jc w:val="both"/>
        <w:rPr>
          <w:rFonts w:ascii="Times New Roman" w:hAnsi="Times New Roman" w:cs="Times New Roman"/>
          <w:bCs/>
          <w:lang w:val="fr-FR"/>
        </w:rPr>
      </w:pPr>
      <w:r>
        <w:rPr>
          <w:rFonts w:ascii="Times New Roman" w:hAnsi="Times New Roman" w:cs="Times New Roman"/>
          <w:bCs/>
          <w:lang w:val="fr-FR"/>
        </w:rPr>
        <w:t>[À paraître</w:t>
      </w:r>
      <w:r>
        <w:rPr>
          <w:rFonts w:ascii="Times New Roman" w:hAnsi="Times New Roman" w:cs="Times New Roman"/>
          <w:sz w:val="22"/>
          <w:szCs w:val="22"/>
          <w:lang w:val="fr-FR"/>
        </w:rPr>
        <w:t>]</w:t>
      </w:r>
      <w:r>
        <w:rPr>
          <w:rFonts w:ascii="Times New Roman" w:hAnsi="Times New Roman" w:cs="Times New Roman"/>
          <w:bCs/>
          <w:lang w:val="fr-FR"/>
        </w:rPr>
        <w:t xml:space="preserve"> : </w:t>
      </w: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Articles « cadavre », « crémation », « inhumation »,  « archéothanatologie » et « paléoanthropologie ». Dans : </w:t>
      </w:r>
      <w:r>
        <w:rPr>
          <w:rFonts w:ascii="Times New Roman" w:hAnsi="Times New Roman" w:cs="Times New Roman"/>
          <w:bCs/>
          <w:smallCaps/>
          <w:lang w:val="fr-FR"/>
        </w:rPr>
        <w:t>Bodiou</w:t>
      </w:r>
      <w:r>
        <w:rPr>
          <w:rFonts w:ascii="Times New Roman" w:hAnsi="Times New Roman" w:cs="Times New Roman"/>
          <w:bCs/>
          <w:lang w:val="fr-FR"/>
        </w:rPr>
        <w:t xml:space="preserve"> L. et V. </w:t>
      </w:r>
      <w:r>
        <w:rPr>
          <w:rFonts w:ascii="Times New Roman" w:hAnsi="Times New Roman" w:cs="Times New Roman"/>
          <w:bCs/>
          <w:smallCaps/>
          <w:lang w:val="fr-FR"/>
        </w:rPr>
        <w:t>Mehl</w:t>
      </w:r>
      <w:r>
        <w:rPr>
          <w:rFonts w:ascii="Times New Roman" w:hAnsi="Times New Roman" w:cs="Times New Roman"/>
          <w:bCs/>
          <w:lang w:val="fr-FR"/>
        </w:rPr>
        <w:t xml:space="preserve"> (dir.) – </w:t>
      </w:r>
      <w:r>
        <w:rPr>
          <w:rFonts w:ascii="Times New Roman" w:hAnsi="Times New Roman" w:cs="Times New Roman"/>
          <w:bCs/>
          <w:i/>
          <w:lang w:val="fr-FR"/>
        </w:rPr>
        <w:t>Dictionnaire du corps dans l’Antiquité : anthropologie des mondes grec et romain</w:t>
      </w:r>
      <w:r>
        <w:rPr>
          <w:rFonts w:ascii="Times New Roman" w:hAnsi="Times New Roman" w:cs="Times New Roman"/>
          <w:bCs/>
          <w:lang w:val="fr-FR"/>
        </w:rPr>
        <w:t>, Rennes, Presses Universitaires de Rennes.</w:t>
      </w:r>
    </w:p>
    <w:p w:rsidR="00E073AC" w:rsidRDefault="001D6D87">
      <w:pPr>
        <w:suppressAutoHyphens/>
        <w:spacing w:before="160"/>
        <w:ind w:left="709" w:hanging="709"/>
        <w:jc w:val="both"/>
        <w:rPr>
          <w:rFonts w:ascii="Times New Roman" w:hAnsi="Times New Roman" w:cs="Times New Roman"/>
          <w:bCs/>
          <w:lang w:val="fr-FR"/>
        </w:rPr>
      </w:pPr>
      <w:r>
        <w:rPr>
          <w:rFonts w:ascii="Times New Roman" w:hAnsi="Times New Roman" w:cs="Times New Roman"/>
          <w:bCs/>
          <w:lang w:val="fr-FR"/>
        </w:rPr>
        <w:t xml:space="preserve"> [En préparation</w:t>
      </w:r>
      <w:r>
        <w:rPr>
          <w:rFonts w:ascii="Times New Roman" w:hAnsi="Times New Roman" w:cs="Times New Roman"/>
          <w:sz w:val="22"/>
          <w:szCs w:val="22"/>
          <w:lang w:val="fr-FR"/>
        </w:rPr>
        <w:t>]</w:t>
      </w:r>
      <w:r>
        <w:rPr>
          <w:rFonts w:ascii="Times New Roman" w:hAnsi="Times New Roman" w:cs="Times New Roman"/>
          <w:bCs/>
          <w:lang w:val="fr-FR"/>
        </w:rPr>
        <w:t xml:space="preserve"> : </w:t>
      </w: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La tombe et l’espace funéraire ». Dans : </w:t>
      </w:r>
      <w:r>
        <w:rPr>
          <w:rFonts w:ascii="Times New Roman" w:hAnsi="Times New Roman" w:cs="Times New Roman"/>
          <w:bCs/>
          <w:smallCaps/>
          <w:lang w:val="fr-FR"/>
        </w:rPr>
        <w:t>Prost</w:t>
      </w:r>
      <w:r>
        <w:rPr>
          <w:rFonts w:ascii="Times New Roman" w:hAnsi="Times New Roman" w:cs="Times New Roman"/>
          <w:bCs/>
          <w:lang w:val="fr-FR"/>
        </w:rPr>
        <w:t xml:space="preserve"> F., </w:t>
      </w:r>
      <w:r>
        <w:rPr>
          <w:rFonts w:ascii="Times New Roman" w:hAnsi="Times New Roman" w:cs="Times New Roman"/>
          <w:bCs/>
          <w:smallCaps/>
          <w:lang w:val="fr-FR"/>
        </w:rPr>
        <w:t>Roubineau</w:t>
      </w:r>
      <w:r>
        <w:rPr>
          <w:rFonts w:ascii="Times New Roman" w:hAnsi="Times New Roman" w:cs="Times New Roman"/>
          <w:bCs/>
          <w:lang w:val="fr-FR"/>
        </w:rPr>
        <w:t xml:space="preserve"> J.-M. et D. </w:t>
      </w:r>
      <w:r>
        <w:rPr>
          <w:rFonts w:ascii="Times New Roman" w:hAnsi="Times New Roman" w:cs="Times New Roman"/>
          <w:bCs/>
          <w:smallCaps/>
          <w:lang w:val="fr-FR"/>
        </w:rPr>
        <w:t>Viviers</w:t>
      </w:r>
      <w:r>
        <w:rPr>
          <w:rFonts w:ascii="Times New Roman" w:hAnsi="Times New Roman" w:cs="Times New Roman"/>
          <w:bCs/>
          <w:lang w:val="fr-FR"/>
        </w:rPr>
        <w:t xml:space="preserve"> – </w:t>
      </w:r>
      <w:r>
        <w:rPr>
          <w:rFonts w:ascii="Times New Roman" w:hAnsi="Times New Roman" w:cs="Times New Roman"/>
          <w:bCs/>
          <w:i/>
          <w:lang w:val="fr-FR"/>
        </w:rPr>
        <w:t>Le monde grec au VI</w:t>
      </w:r>
      <w:r>
        <w:rPr>
          <w:rFonts w:ascii="Times New Roman" w:hAnsi="Times New Roman" w:cs="Times New Roman"/>
          <w:bCs/>
          <w:i/>
          <w:vertAlign w:val="superscript"/>
          <w:lang w:val="fr-FR"/>
        </w:rPr>
        <w:t>e</w:t>
      </w:r>
      <w:r>
        <w:rPr>
          <w:rFonts w:ascii="Times New Roman" w:hAnsi="Times New Roman" w:cs="Times New Roman"/>
          <w:bCs/>
          <w:i/>
          <w:lang w:val="fr-FR"/>
        </w:rPr>
        <w:t xml:space="preserve"> siècle</w:t>
      </w:r>
      <w:r>
        <w:rPr>
          <w:rFonts w:ascii="Times New Roman" w:hAnsi="Times New Roman" w:cs="Times New Roman"/>
          <w:bCs/>
          <w:lang w:val="fr-FR"/>
        </w:rPr>
        <w:t xml:space="preserve">. </w:t>
      </w:r>
    </w:p>
    <w:p w:rsidR="00E073AC" w:rsidRDefault="00E073AC">
      <w:pPr>
        <w:suppressAutoHyphens/>
        <w:spacing w:before="160"/>
        <w:ind w:left="709" w:hanging="709"/>
        <w:jc w:val="both"/>
        <w:rPr>
          <w:rFonts w:ascii="Times New Roman" w:hAnsi="Times New Roman" w:cs="Times New Roman"/>
          <w:lang w:val="fr-FR"/>
        </w:rPr>
      </w:pPr>
    </w:p>
    <w:p w:rsidR="00E073AC" w:rsidRDefault="001D6D87">
      <w:pPr>
        <w:numPr>
          <w:ilvl w:val="0"/>
          <w:numId w:val="1"/>
        </w:numPr>
        <w:suppressAutoHyphens/>
        <w:spacing w:before="160" w:line="360" w:lineRule="auto"/>
        <w:jc w:val="both"/>
        <w:rPr>
          <w:rFonts w:ascii="Times New Roman" w:hAnsi="Times New Roman" w:cs="Times New Roman"/>
          <w:b/>
          <w:bCs/>
          <w:i/>
          <w:lang w:val="fr-FR"/>
        </w:rPr>
      </w:pPr>
      <w:r>
        <w:rPr>
          <w:rFonts w:ascii="Times New Roman" w:hAnsi="Times New Roman" w:cs="Times New Roman"/>
          <w:b/>
          <w:bCs/>
          <w:i/>
          <w:lang w:val="fr-FR"/>
        </w:rPr>
        <w:lastRenderedPageBreak/>
        <w:t xml:space="preserve">Articles dans des revues à comité de lecture </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Nécropole Ouest, 1879 : la première fouille gouvernementale à Mégara Hyblaea ». </w:t>
      </w:r>
      <w:r>
        <w:rPr>
          <w:rFonts w:ascii="Times New Roman" w:hAnsi="Times New Roman" w:cs="Times New Roman"/>
          <w:bCs/>
          <w:i/>
          <w:lang w:val="fr-FR"/>
        </w:rPr>
        <w:t>Mélanges de l’École française de Rome. Antiquité</w:t>
      </w:r>
      <w:r>
        <w:rPr>
          <w:rFonts w:ascii="Times New Roman" w:hAnsi="Times New Roman" w:cs="Times New Roman"/>
          <w:bCs/>
          <w:lang w:val="fr-FR"/>
        </w:rPr>
        <w:t xml:space="preserve">, 128, 2, 2016, p. 375-417. </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Le métal et la parure : identité de genre et identité ethnique dans les nécropoles de Grande Grèce et de Sicile ». Dans : </w:t>
      </w:r>
      <w:r>
        <w:rPr>
          <w:rFonts w:ascii="Times New Roman" w:hAnsi="Times New Roman" w:cs="Times New Roman"/>
          <w:bCs/>
          <w:smallCaps/>
          <w:lang w:val="fr-FR"/>
        </w:rPr>
        <w:t>Müller C</w:t>
      </w:r>
      <w:r>
        <w:rPr>
          <w:rFonts w:ascii="Times New Roman" w:hAnsi="Times New Roman" w:cs="Times New Roman"/>
          <w:bCs/>
          <w:lang w:val="fr-FR"/>
        </w:rPr>
        <w:t xml:space="preserve">. et </w:t>
      </w:r>
      <w:r>
        <w:rPr>
          <w:rFonts w:ascii="Times New Roman" w:hAnsi="Times New Roman" w:cs="Times New Roman"/>
          <w:bCs/>
          <w:smallCaps/>
          <w:lang w:val="fr-FR"/>
        </w:rPr>
        <w:t>A.-E. Veïsse</w:t>
      </w:r>
      <w:r>
        <w:rPr>
          <w:rFonts w:ascii="Times New Roman" w:hAnsi="Times New Roman" w:cs="Times New Roman"/>
          <w:bCs/>
          <w:lang w:val="fr-FR"/>
        </w:rPr>
        <w:t xml:space="preserve"> (dir.), </w:t>
      </w:r>
      <w:r>
        <w:rPr>
          <w:rFonts w:ascii="Times New Roman" w:eastAsia="Times New Roman" w:hAnsi="Times New Roman" w:cs="Times New Roman"/>
          <w:i/>
          <w:iCs/>
          <w:lang w:val="fr-FR"/>
        </w:rPr>
        <w:t>Culture(s) matérielle(s) et identités ethniques</w:t>
      </w:r>
      <w:r>
        <w:rPr>
          <w:rFonts w:ascii="Times New Roman" w:hAnsi="Times New Roman" w:cs="Times New Roman"/>
          <w:bCs/>
          <w:lang w:val="fr-FR"/>
        </w:rPr>
        <w:t xml:space="preserve">. </w:t>
      </w:r>
      <w:r>
        <w:rPr>
          <w:rFonts w:ascii="Times New Roman" w:hAnsi="Times New Roman" w:cs="Times New Roman"/>
          <w:bCs/>
          <w:i/>
          <w:lang w:val="fr-FR"/>
        </w:rPr>
        <w:t>Dialogues d’histoire ancienne</w:t>
      </w:r>
      <w:r>
        <w:rPr>
          <w:rFonts w:ascii="Times New Roman" w:hAnsi="Times New Roman" w:cs="Times New Roman"/>
          <w:bCs/>
          <w:lang w:val="fr-FR"/>
        </w:rPr>
        <w:t>, Suppl. 10, 2014, p. 145-168.</w:t>
      </w:r>
    </w:p>
    <w:p w:rsidR="00E073AC" w:rsidRDefault="001D6D87">
      <w:pPr>
        <w:spacing w:before="160"/>
        <w:ind w:left="709" w:hanging="709"/>
        <w:jc w:val="both"/>
        <w:rPr>
          <w:rFonts w:ascii="Times New Roman" w:eastAsia="MS MinNew Roman" w:hAnsi="Times New Roman" w:cs="Times New Roman"/>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w:t>
      </w:r>
      <w:r>
        <w:rPr>
          <w:rFonts w:ascii="Times New Roman" w:eastAsia="MS MinNew Roman" w:hAnsi="Times New Roman" w:cs="Times New Roman"/>
          <w:lang w:val="fr-FR"/>
        </w:rPr>
        <w:t xml:space="preserve">L’objet dans les nécropoles mégariennes : réflexion méthodologique autour de la notion de dépôt funéraire ». Dans : </w:t>
      </w:r>
      <w:r>
        <w:rPr>
          <w:rFonts w:ascii="Times New Roman" w:eastAsia="MS MinNew Roman" w:hAnsi="Times New Roman" w:cs="Times New Roman"/>
          <w:smallCaps/>
          <w:lang w:val="fr-FR"/>
        </w:rPr>
        <w:t>Rico C</w:t>
      </w:r>
      <w:r>
        <w:rPr>
          <w:rFonts w:ascii="Times New Roman" w:eastAsia="MS MinNew Roman" w:hAnsi="Times New Roman" w:cs="Times New Roman"/>
          <w:lang w:val="fr-FR"/>
        </w:rPr>
        <w:t xml:space="preserve">. (dir.), </w:t>
      </w:r>
      <w:r>
        <w:rPr>
          <w:rFonts w:ascii="Times New Roman" w:eastAsia="MS MinNew Roman" w:hAnsi="Times New Roman" w:cs="Times New Roman"/>
          <w:i/>
          <w:lang w:val="fr-FR"/>
        </w:rPr>
        <w:t>L’objet dans la tombe en Grèce et en Grande Grèce à l’Âge du Fer</w:t>
      </w:r>
      <w:r>
        <w:rPr>
          <w:rFonts w:ascii="Times New Roman" w:eastAsia="MS MinNew Roman" w:hAnsi="Times New Roman" w:cs="Times New Roman"/>
          <w:lang w:val="fr-FR"/>
        </w:rPr>
        <w:t xml:space="preserve">. </w:t>
      </w:r>
      <w:r>
        <w:rPr>
          <w:rFonts w:ascii="Times New Roman" w:eastAsia="MS MinNew Roman" w:hAnsi="Times New Roman" w:cs="Times New Roman"/>
          <w:i/>
          <w:lang w:val="fr-FR"/>
        </w:rPr>
        <w:t>Pallas</w:t>
      </w:r>
      <w:r>
        <w:rPr>
          <w:rFonts w:ascii="Times New Roman" w:eastAsia="MS MinNew Roman" w:hAnsi="Times New Roman" w:cs="Times New Roman"/>
          <w:lang w:val="fr-FR"/>
        </w:rPr>
        <w:t>, 94, 2014, p. 103-122.</w:t>
      </w:r>
    </w:p>
    <w:p w:rsidR="00E073AC" w:rsidRDefault="00E073AC">
      <w:pPr>
        <w:spacing w:before="160"/>
        <w:ind w:left="709" w:hanging="709"/>
        <w:jc w:val="both"/>
        <w:rPr>
          <w:rFonts w:ascii="Times New Roman" w:eastAsia="MS MinNew Roman" w:hAnsi="Times New Roman" w:cs="Times New Roman"/>
          <w:lang w:val="fr-FR"/>
        </w:rPr>
      </w:pPr>
    </w:p>
    <w:p w:rsidR="00E073AC" w:rsidRDefault="001D6D87">
      <w:pPr>
        <w:numPr>
          <w:ilvl w:val="0"/>
          <w:numId w:val="1"/>
        </w:numPr>
        <w:suppressAutoHyphens/>
        <w:spacing w:before="160" w:line="360" w:lineRule="auto"/>
        <w:jc w:val="both"/>
        <w:rPr>
          <w:rFonts w:ascii="Times New Roman" w:hAnsi="Times New Roman" w:cs="Times New Roman"/>
          <w:b/>
          <w:bCs/>
          <w:i/>
          <w:lang w:val="fr-FR"/>
        </w:rPr>
      </w:pPr>
      <w:r>
        <w:rPr>
          <w:rFonts w:ascii="Times New Roman" w:hAnsi="Times New Roman" w:cs="Times New Roman"/>
          <w:b/>
          <w:bCs/>
          <w:i/>
          <w:lang w:val="fr-FR"/>
        </w:rPr>
        <w:t xml:space="preserve">Articles dans des actes de congrès avec comité de lecture </w:t>
      </w:r>
    </w:p>
    <w:p w:rsidR="003E7191" w:rsidRPr="003E7191" w:rsidRDefault="003E7191" w:rsidP="003E7191">
      <w:pPr>
        <w:spacing w:before="160"/>
        <w:ind w:left="709" w:hanging="709"/>
        <w:jc w:val="both"/>
        <w:rPr>
          <w:rFonts w:ascii="Times New Roman" w:hAnsi="Times New Roman" w:cs="Times New Roman"/>
          <w:bCs/>
          <w:lang w:val="en-US"/>
        </w:rPr>
      </w:pPr>
      <w:r w:rsidRPr="003E7191">
        <w:rPr>
          <w:rFonts w:ascii="Times New Roman" w:hAnsi="Times New Roman" w:cs="Times New Roman"/>
          <w:b/>
          <w:bCs/>
          <w:smallCaps/>
          <w:lang w:val="en-US"/>
        </w:rPr>
        <w:t>Bérard</w:t>
      </w:r>
      <w:r w:rsidRPr="003E7191">
        <w:rPr>
          <w:rFonts w:ascii="Times New Roman" w:hAnsi="Times New Roman" w:cs="Times New Roman"/>
          <w:b/>
          <w:bCs/>
          <w:lang w:val="en-US"/>
        </w:rPr>
        <w:t xml:space="preserve"> R.-M.</w:t>
      </w:r>
      <w:r w:rsidRPr="003E7191">
        <w:rPr>
          <w:rFonts w:ascii="Times New Roman" w:hAnsi="Times New Roman" w:cs="Times New Roman"/>
          <w:bCs/>
          <w:lang w:val="en-US"/>
        </w:rPr>
        <w:t xml:space="preserve"> – « Greek and Indigenous People: Investigation in the Necropoleis of Megara Hyblaea ». Dans : H</w:t>
      </w:r>
      <w:r w:rsidRPr="003E7191">
        <w:rPr>
          <w:rFonts w:ascii="Times New Roman" w:hAnsi="Times New Roman" w:cs="Times New Roman"/>
          <w:bCs/>
          <w:smallCaps/>
          <w:lang w:val="en-US"/>
        </w:rPr>
        <w:t>erring</w:t>
      </w:r>
      <w:r w:rsidRPr="003E7191">
        <w:rPr>
          <w:rFonts w:ascii="Times New Roman" w:hAnsi="Times New Roman" w:cs="Times New Roman"/>
          <w:bCs/>
          <w:lang w:val="en-US"/>
        </w:rPr>
        <w:t xml:space="preserve"> E. et  E. O’</w:t>
      </w:r>
      <w:r w:rsidRPr="003E7191">
        <w:rPr>
          <w:rFonts w:ascii="Times New Roman" w:hAnsi="Times New Roman" w:cs="Times New Roman"/>
          <w:bCs/>
          <w:smallCaps/>
          <w:lang w:val="en-US"/>
        </w:rPr>
        <w:t>Donoghue (</w:t>
      </w:r>
      <w:r w:rsidRPr="003E7191">
        <w:rPr>
          <w:rFonts w:ascii="Times New Roman" w:hAnsi="Times New Roman" w:cs="Times New Roman"/>
          <w:bCs/>
          <w:lang w:val="en-US"/>
        </w:rPr>
        <w:t xml:space="preserve">dir.), </w:t>
      </w:r>
      <w:r w:rsidRPr="003E7191">
        <w:rPr>
          <w:rFonts w:ascii="Times New Roman" w:hAnsi="Times New Roman" w:cs="Times New Roman"/>
          <w:bCs/>
          <w:i/>
          <w:lang w:val="en-US"/>
        </w:rPr>
        <w:t>Papers of the Seventh Conference of Italian Archaeology</w:t>
      </w:r>
      <w:r w:rsidRPr="003E7191">
        <w:rPr>
          <w:rFonts w:ascii="Times New Roman" w:hAnsi="Times New Roman" w:cs="Times New Roman"/>
          <w:bCs/>
          <w:lang w:val="en-US"/>
        </w:rPr>
        <w:t xml:space="preserve">, Galway, 2018, p. 48-55. </w:t>
      </w:r>
    </w:p>
    <w:p w:rsidR="003E7191" w:rsidRDefault="003E7191" w:rsidP="003E7191">
      <w:pPr>
        <w:spacing w:before="160"/>
        <w:ind w:left="709" w:hanging="709"/>
        <w:jc w:val="both"/>
        <w:rPr>
          <w:rFonts w:ascii="Times New Roman" w:hAnsi="Times New Roman" w:cs="Times New Roman"/>
          <w:bCs/>
          <w:lang w:val="it-IT"/>
        </w:rPr>
      </w:pPr>
      <w:r>
        <w:rPr>
          <w:rFonts w:ascii="Times New Roman" w:hAnsi="Times New Roman" w:cs="Times New Roman"/>
          <w:b/>
          <w:bCs/>
          <w:smallCaps/>
          <w:lang w:val="en-US"/>
        </w:rPr>
        <w:t>Bérard</w:t>
      </w:r>
      <w:r>
        <w:rPr>
          <w:rFonts w:ascii="Times New Roman" w:hAnsi="Times New Roman" w:cs="Times New Roman"/>
          <w:b/>
          <w:bCs/>
          <w:lang w:val="en-US"/>
        </w:rPr>
        <w:t xml:space="preserve"> R.-M.</w:t>
      </w:r>
      <w:r>
        <w:rPr>
          <w:rFonts w:ascii="Times New Roman" w:hAnsi="Times New Roman" w:cs="Times New Roman"/>
          <w:bCs/>
          <w:lang w:val="en-US"/>
        </w:rPr>
        <w:t xml:space="preserve"> – « Wartime Mass Graves in the Ancient Greek World ». </w:t>
      </w:r>
      <w:r w:rsidRPr="003E7191">
        <w:rPr>
          <w:rFonts w:ascii="Times New Roman" w:hAnsi="Times New Roman" w:cs="Times New Roman"/>
          <w:bCs/>
          <w:lang w:val="it-IT"/>
        </w:rPr>
        <w:t xml:space="preserve">Dans : </w:t>
      </w:r>
      <w:r w:rsidRPr="003E7191">
        <w:rPr>
          <w:rFonts w:ascii="Times New Roman" w:hAnsi="Times New Roman" w:cs="Times New Roman"/>
          <w:bCs/>
          <w:smallCaps/>
          <w:lang w:val="it-IT"/>
        </w:rPr>
        <w:t>Nizzo</w:t>
      </w:r>
      <w:r w:rsidRPr="003E7191">
        <w:rPr>
          <w:rFonts w:ascii="Times New Roman" w:hAnsi="Times New Roman" w:cs="Times New Roman"/>
          <w:bCs/>
          <w:lang w:val="it-IT"/>
        </w:rPr>
        <w:t xml:space="preserve"> V. (dir), </w:t>
      </w:r>
      <w:r w:rsidRPr="003E7191">
        <w:rPr>
          <w:rFonts w:ascii="Times New Roman" w:hAnsi="Times New Roman" w:cs="Times New Roman"/>
          <w:bCs/>
          <w:i/>
          <w:lang w:val="it-IT"/>
        </w:rPr>
        <w:t xml:space="preserve">Archeologia e antropologia della morte III. </w:t>
      </w:r>
      <w:r>
        <w:rPr>
          <w:rFonts w:ascii="Times New Roman" w:hAnsi="Times New Roman" w:cs="Times New Roman"/>
          <w:bCs/>
          <w:i/>
          <w:lang w:val="it-IT"/>
        </w:rPr>
        <w:t>Incontro di studi di antropologia e archeologia a confronto</w:t>
      </w:r>
      <w:r>
        <w:rPr>
          <w:rFonts w:ascii="Times New Roman" w:hAnsi="Times New Roman" w:cs="Times New Roman"/>
          <w:bCs/>
          <w:lang w:val="it-IT"/>
        </w:rPr>
        <w:t xml:space="preserve">, ESS, Rome, </w:t>
      </w:r>
      <w:r w:rsidRPr="006A0A3F">
        <w:rPr>
          <w:rFonts w:ascii="Times New Roman" w:hAnsi="Times New Roman" w:cs="Times New Roman"/>
          <w:bCs/>
          <w:lang w:val="it-IT"/>
        </w:rPr>
        <w:t xml:space="preserve">2018, </w:t>
      </w:r>
      <w:bookmarkStart w:id="0" w:name="_GoBack"/>
      <w:r w:rsidR="006A0A3F" w:rsidRPr="006A0A3F">
        <w:rPr>
          <w:rFonts w:ascii="Times New Roman" w:hAnsi="Times New Roman" w:cs="Times New Roman"/>
          <w:bCs/>
          <w:lang w:val="it-IT"/>
        </w:rPr>
        <w:t>p. 276-286</w:t>
      </w:r>
      <w:bookmarkEnd w:id="0"/>
      <w:r w:rsidR="006A0A3F" w:rsidRPr="006A0A3F">
        <w:rPr>
          <w:rFonts w:ascii="Times New Roman" w:hAnsi="Times New Roman" w:cs="Times New Roman"/>
          <w:bCs/>
          <w:lang w:val="it-IT"/>
        </w:rPr>
        <w:t>.</w:t>
      </w:r>
    </w:p>
    <w:p w:rsidR="00E073AC" w:rsidRDefault="001D6D87">
      <w:pPr>
        <w:spacing w:before="160"/>
        <w:ind w:left="709" w:hanging="709"/>
        <w:jc w:val="both"/>
        <w:rPr>
          <w:rFonts w:ascii="Times New Roman" w:eastAsia="MS MinNew Roman" w:hAnsi="Times New Roman" w:cs="Times New Roman"/>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Trouver sa place : les sépultures d’enfant dans les ensembles funéraires antiques ». </w:t>
      </w:r>
      <w:r>
        <w:rPr>
          <w:rFonts w:ascii="Times New Roman" w:eastAsia="MS MinNew Roman" w:hAnsi="Times New Roman" w:cs="Times New Roman"/>
          <w:lang w:val="fr-FR"/>
        </w:rPr>
        <w:t xml:space="preserve">Dans : </w:t>
      </w:r>
      <w:r>
        <w:rPr>
          <w:rFonts w:ascii="Times New Roman" w:eastAsia="MS MinNew Roman" w:hAnsi="Times New Roman" w:cs="Times New Roman"/>
          <w:smallCaps/>
          <w:lang w:val="fr-FR"/>
        </w:rPr>
        <w:softHyphen/>
      </w:r>
      <w:r>
        <w:rPr>
          <w:rFonts w:ascii="Times New Roman" w:eastAsia="MS MinNew Roman" w:hAnsi="Times New Roman" w:cs="Times New Roman"/>
          <w:smallCaps/>
          <w:lang w:val="fr-FR"/>
        </w:rPr>
        <w:softHyphen/>
        <w:t>-</w:t>
      </w:r>
      <w:r>
        <w:rPr>
          <w:rFonts w:ascii="Times New Roman" w:eastAsia="MS MinNew Roman" w:hAnsi="Times New Roman" w:cs="Times New Roman"/>
          <w:smallCaps/>
          <w:lang w:val="fr-FR"/>
        </w:rPr>
        <w:softHyphen/>
      </w:r>
      <w:r>
        <w:rPr>
          <w:rFonts w:ascii="Times New Roman" w:eastAsia="MS MinNew Roman" w:hAnsi="Times New Roman" w:cs="Times New Roman"/>
          <w:lang w:val="fr-FR"/>
        </w:rPr>
        <w:t xml:space="preserve">, Antibes, Éditions APDCA, 2016, p. 451-466. </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De la relégation à la nécropole : appréhender et qualifier les espaces funéraires dans le monde grec antique ». Dans : </w:t>
      </w:r>
      <w:r>
        <w:rPr>
          <w:rFonts w:ascii="Times New Roman" w:hAnsi="Times New Roman" w:cs="Times New Roman"/>
          <w:bCs/>
          <w:smallCaps/>
          <w:lang w:val="fr-FR"/>
        </w:rPr>
        <w:t>Bourrouilh A., N. Haidar Vela</w:t>
      </w:r>
      <w:r>
        <w:rPr>
          <w:rFonts w:ascii="Times New Roman" w:hAnsi="Times New Roman" w:cs="Times New Roman"/>
          <w:bCs/>
          <w:lang w:val="fr-FR"/>
        </w:rPr>
        <w:t xml:space="preserve"> et </w:t>
      </w:r>
      <w:r>
        <w:rPr>
          <w:rFonts w:ascii="Times New Roman" w:hAnsi="Times New Roman" w:cs="Times New Roman"/>
          <w:bCs/>
          <w:smallCaps/>
          <w:lang w:val="fr-FR"/>
        </w:rPr>
        <w:t>P.-E. Paris</w:t>
      </w:r>
      <w:r>
        <w:rPr>
          <w:rFonts w:ascii="Times New Roman" w:hAnsi="Times New Roman" w:cs="Times New Roman"/>
          <w:bCs/>
          <w:lang w:val="fr-FR"/>
        </w:rPr>
        <w:t xml:space="preserve"> (dir.), </w:t>
      </w:r>
      <w:r>
        <w:rPr>
          <w:rFonts w:ascii="Times New Roman" w:hAnsi="Times New Roman" w:cs="Times New Roman"/>
          <w:bCs/>
          <w:i/>
          <w:lang w:val="fr-FR"/>
        </w:rPr>
        <w:t>Appréhension et qualification des espaces au sein du site archéologique</w:t>
      </w:r>
      <w:r>
        <w:rPr>
          <w:rFonts w:ascii="Times New Roman" w:hAnsi="Times New Roman" w:cs="Times New Roman"/>
          <w:bCs/>
          <w:lang w:val="fr-FR"/>
        </w:rPr>
        <w:t xml:space="preserve">, Paris, Publications de la Sorbonne (Collection : Archéo.Doct 8), 2016, p. 161-176.  </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Grecs, indigènes et au-delà : la question de l’ethnicité dans les ensembles funéraires en contexte colonial ». Dans : </w:t>
      </w:r>
      <w:r>
        <w:rPr>
          <w:rFonts w:ascii="Times New Roman" w:hAnsi="Times New Roman" w:cs="Times New Roman"/>
          <w:bCs/>
          <w:smallCaps/>
          <w:lang w:val="fr-FR"/>
        </w:rPr>
        <w:t>Zurbach J.</w:t>
      </w:r>
      <w:r>
        <w:rPr>
          <w:rFonts w:ascii="Times New Roman" w:hAnsi="Times New Roman" w:cs="Times New Roman"/>
          <w:bCs/>
          <w:lang w:val="fr-FR"/>
        </w:rPr>
        <w:t xml:space="preserve"> et </w:t>
      </w:r>
      <w:r>
        <w:rPr>
          <w:rFonts w:ascii="Times New Roman" w:hAnsi="Times New Roman" w:cs="Times New Roman"/>
          <w:bCs/>
          <w:smallCaps/>
          <w:lang w:val="fr-FR"/>
        </w:rPr>
        <w:t>L. Capdetrey</w:t>
      </w:r>
      <w:r>
        <w:rPr>
          <w:rFonts w:ascii="Times New Roman" w:hAnsi="Times New Roman" w:cs="Times New Roman"/>
          <w:bCs/>
          <w:lang w:val="fr-FR"/>
        </w:rPr>
        <w:t xml:space="preserve"> (dir.), </w:t>
      </w:r>
      <w:r>
        <w:rPr>
          <w:rFonts w:ascii="Times New Roman" w:hAnsi="Times New Roman" w:cs="Times New Roman"/>
          <w:bCs/>
          <w:i/>
          <w:lang w:val="fr-FR"/>
        </w:rPr>
        <w:t>Mobilités grecques : Mouvements, réseaux, contacts en Méditerranée, de l'époque archaïque à l'époque hellénistique</w:t>
      </w:r>
      <w:r>
        <w:rPr>
          <w:rFonts w:ascii="Times New Roman" w:hAnsi="Times New Roman" w:cs="Times New Roman"/>
          <w:bCs/>
          <w:lang w:val="fr-FR"/>
        </w:rPr>
        <w:t>, Bordeaux, Ausonius, 2012, p. 67-82.</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Cs/>
          <w:lang w:val="fr-FR"/>
        </w:rPr>
        <w:t>[À paraître</w:t>
      </w:r>
      <w:r>
        <w:rPr>
          <w:rFonts w:ascii="Times New Roman" w:hAnsi="Times New Roman" w:cs="Times New Roman"/>
          <w:lang w:val="fr-FR"/>
        </w:rPr>
        <w:t>]</w:t>
      </w:r>
      <w:r>
        <w:rPr>
          <w:rFonts w:ascii="Times New Roman" w:hAnsi="Times New Roman" w:cs="Times New Roman"/>
          <w:bCs/>
          <w:lang w:val="fr-FR"/>
        </w:rPr>
        <w:t xml:space="preserve"> : </w:t>
      </w: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Apports et perspectives de l’archéothanatologie pour l’étude des nécropoles de Grande Grèce et de Sicile ». Dans : </w:t>
      </w:r>
      <w:r>
        <w:rPr>
          <w:rFonts w:ascii="Times New Roman" w:hAnsi="Times New Roman" w:cs="Times New Roman"/>
          <w:bCs/>
          <w:smallCaps/>
          <w:lang w:val="fr-FR"/>
        </w:rPr>
        <w:t xml:space="preserve">Attia A., Costanzo D., Mazet C. </w:t>
      </w:r>
      <w:r>
        <w:rPr>
          <w:rFonts w:ascii="Times New Roman" w:hAnsi="Times New Roman" w:cs="Times New Roman"/>
          <w:bCs/>
          <w:lang w:val="fr-FR"/>
        </w:rPr>
        <w:t xml:space="preserve">et </w:t>
      </w:r>
      <w:r>
        <w:rPr>
          <w:rFonts w:ascii="Times New Roman" w:hAnsi="Times New Roman" w:cs="Times New Roman"/>
          <w:bCs/>
          <w:smallCaps/>
          <w:lang w:val="fr-FR"/>
        </w:rPr>
        <w:t>Petta V</w:t>
      </w:r>
      <w:r>
        <w:rPr>
          <w:rFonts w:ascii="Times New Roman" w:hAnsi="Times New Roman" w:cs="Times New Roman"/>
          <w:bCs/>
          <w:lang w:val="fr-FR"/>
        </w:rPr>
        <w:t xml:space="preserve">. – </w:t>
      </w:r>
      <w:r>
        <w:rPr>
          <w:rFonts w:ascii="Times New Roman" w:hAnsi="Times New Roman" w:cs="Times New Roman"/>
          <w:bCs/>
          <w:i/>
          <w:lang w:val="fr-FR"/>
        </w:rPr>
        <w:t>Premières rencontres franco-italiennes sur l’archéologie funéraire en Italie du Sud</w:t>
      </w:r>
      <w:r>
        <w:rPr>
          <w:rFonts w:ascii="Times New Roman" w:hAnsi="Times New Roman" w:cs="Times New Roman"/>
          <w:bCs/>
          <w:lang w:val="fr-FR"/>
        </w:rPr>
        <w:t xml:space="preserve">, Venosa, Osanna Edizioni (Archeologia Nuova Serie). </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Cs/>
          <w:lang w:val="fr-FR"/>
        </w:rPr>
        <w:t>[À paraître</w:t>
      </w:r>
      <w:r>
        <w:rPr>
          <w:rFonts w:ascii="Times New Roman" w:hAnsi="Times New Roman" w:cs="Times New Roman"/>
          <w:sz w:val="22"/>
          <w:szCs w:val="22"/>
          <w:lang w:val="fr-FR"/>
        </w:rPr>
        <w:t>]</w:t>
      </w:r>
      <w:r>
        <w:rPr>
          <w:rFonts w:ascii="Times New Roman" w:hAnsi="Times New Roman" w:cs="Times New Roman"/>
          <w:bCs/>
          <w:lang w:val="fr-FR"/>
        </w:rPr>
        <w:t xml:space="preserve"> : </w:t>
      </w: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w:t>
      </w:r>
      <w:r>
        <w:rPr>
          <w:rFonts w:ascii="Times New Roman" w:eastAsia="Times New Roman" w:hAnsi="Times New Roman" w:cs="Times New Roman"/>
          <w:lang w:val="fr-FR"/>
        </w:rPr>
        <w:t xml:space="preserve">Une autre façon de mourir ? Retour sur les pratiques funéraires de Mégara Nisaea et Mégara Hyblaea </w:t>
      </w:r>
      <w:r>
        <w:rPr>
          <w:rFonts w:ascii="Times New Roman" w:hAnsi="Times New Roman" w:cs="Times New Roman"/>
          <w:bCs/>
          <w:lang w:val="fr-FR"/>
        </w:rPr>
        <w:t xml:space="preserve">». Dans : </w:t>
      </w:r>
      <w:r>
        <w:rPr>
          <w:rFonts w:ascii="Times New Roman" w:hAnsi="Times New Roman" w:cs="Times New Roman"/>
          <w:bCs/>
          <w:smallCaps/>
          <w:lang w:val="fr-FR"/>
        </w:rPr>
        <w:t>Dana</w:t>
      </w:r>
      <w:r>
        <w:rPr>
          <w:rFonts w:ascii="Times New Roman" w:hAnsi="Times New Roman" w:cs="Times New Roman"/>
          <w:bCs/>
          <w:lang w:val="fr-FR"/>
        </w:rPr>
        <w:t xml:space="preserve"> M. et M. </w:t>
      </w:r>
      <w:r>
        <w:rPr>
          <w:rFonts w:ascii="Times New Roman" w:hAnsi="Times New Roman" w:cs="Times New Roman"/>
          <w:bCs/>
          <w:smallCaps/>
          <w:lang w:val="fr-FR"/>
        </w:rPr>
        <w:t>Costanzi</w:t>
      </w:r>
      <w:r>
        <w:rPr>
          <w:rFonts w:ascii="Times New Roman" w:hAnsi="Times New Roman" w:cs="Times New Roman"/>
          <w:bCs/>
          <w:lang w:val="fr-FR"/>
        </w:rPr>
        <w:t xml:space="preserve"> (dir.) – </w:t>
      </w:r>
      <w:r>
        <w:rPr>
          <w:rFonts w:ascii="Times New Roman" w:hAnsi="Times New Roman" w:cs="Times New Roman"/>
          <w:bCs/>
          <w:i/>
          <w:lang w:val="fr-FR"/>
        </w:rPr>
        <w:t>Une autre façon d’être Grec : interactions et productions des Grecs en milieu colonial</w:t>
      </w:r>
      <w:r>
        <w:rPr>
          <w:rFonts w:ascii="Times New Roman" w:hAnsi="Times New Roman" w:cs="Times New Roman"/>
          <w:bCs/>
          <w:lang w:val="fr-FR"/>
        </w:rPr>
        <w:t xml:space="preserve">, Peeters Publishers (Colloquia Antica), Leuven. </w:t>
      </w:r>
    </w:p>
    <w:p w:rsidR="00E073AC" w:rsidRDefault="003E7191">
      <w:pPr>
        <w:spacing w:before="160"/>
        <w:ind w:left="709" w:hanging="709"/>
        <w:jc w:val="both"/>
        <w:rPr>
          <w:rFonts w:ascii="Times New Roman" w:hAnsi="Times New Roman" w:cs="Times New Roman"/>
          <w:bCs/>
          <w:lang w:val="en-US"/>
        </w:rPr>
      </w:pPr>
      <w:r w:rsidRPr="00162388">
        <w:rPr>
          <w:rFonts w:ascii="Times New Roman" w:hAnsi="Times New Roman" w:cs="Times New Roman"/>
          <w:bCs/>
          <w:lang w:val="fr-FR"/>
        </w:rPr>
        <w:t xml:space="preserve"> </w:t>
      </w:r>
      <w:r w:rsidR="001D6D87">
        <w:rPr>
          <w:rFonts w:ascii="Times New Roman" w:hAnsi="Times New Roman" w:cs="Times New Roman"/>
          <w:bCs/>
          <w:lang w:val="en-US"/>
        </w:rPr>
        <w:t>[À paraître</w:t>
      </w:r>
      <w:r w:rsidR="001D6D87">
        <w:rPr>
          <w:rFonts w:ascii="Times New Roman" w:hAnsi="Times New Roman" w:cs="Times New Roman"/>
          <w:sz w:val="22"/>
          <w:szCs w:val="22"/>
          <w:lang w:val="en-US"/>
        </w:rPr>
        <w:t>]</w:t>
      </w:r>
      <w:r w:rsidR="001D6D87">
        <w:rPr>
          <w:rFonts w:ascii="Times New Roman" w:hAnsi="Times New Roman" w:cs="Times New Roman"/>
          <w:bCs/>
          <w:lang w:val="en-US"/>
        </w:rPr>
        <w:t xml:space="preserve"> : </w:t>
      </w:r>
      <w:r w:rsidR="001D6D87">
        <w:rPr>
          <w:rFonts w:ascii="Times New Roman" w:hAnsi="Times New Roman" w:cs="Times New Roman"/>
          <w:b/>
          <w:bCs/>
          <w:smallCaps/>
          <w:lang w:val="en-US"/>
        </w:rPr>
        <w:t>Bérard</w:t>
      </w:r>
      <w:r w:rsidR="001D6D87">
        <w:rPr>
          <w:rFonts w:ascii="Times New Roman" w:hAnsi="Times New Roman" w:cs="Times New Roman"/>
          <w:b/>
          <w:bCs/>
          <w:lang w:val="en-US"/>
        </w:rPr>
        <w:t xml:space="preserve"> R.-M.</w:t>
      </w:r>
      <w:r w:rsidR="001D6D87">
        <w:rPr>
          <w:rFonts w:ascii="Times New Roman" w:hAnsi="Times New Roman" w:cs="Times New Roman"/>
          <w:bCs/>
          <w:lang w:val="en-US"/>
        </w:rPr>
        <w:t xml:space="preserve"> – « Funerary Practices and the Formation of the </w:t>
      </w:r>
      <w:r w:rsidR="001D6D87">
        <w:rPr>
          <w:rFonts w:ascii="Times New Roman" w:hAnsi="Times New Roman" w:cs="Times New Roman"/>
          <w:bCs/>
          <w:i/>
          <w:lang w:val="en-US"/>
        </w:rPr>
        <w:t>Polis</w:t>
      </w:r>
      <w:r w:rsidR="001D6D87">
        <w:rPr>
          <w:rFonts w:ascii="Times New Roman" w:hAnsi="Times New Roman" w:cs="Times New Roman"/>
          <w:bCs/>
          <w:lang w:val="en-US"/>
        </w:rPr>
        <w:t xml:space="preserve"> at Megara Hyblaea ». Dans : </w:t>
      </w:r>
      <w:r w:rsidR="001D6D87">
        <w:rPr>
          <w:rFonts w:ascii="Times New Roman" w:hAnsi="Times New Roman" w:cs="Times New Roman"/>
          <w:bCs/>
          <w:smallCaps/>
          <w:lang w:val="en-US"/>
        </w:rPr>
        <w:t>Lemos</w:t>
      </w:r>
      <w:r w:rsidR="001D6D87">
        <w:rPr>
          <w:rFonts w:ascii="Times New Roman" w:hAnsi="Times New Roman" w:cs="Times New Roman"/>
          <w:bCs/>
          <w:lang w:val="en-US"/>
        </w:rPr>
        <w:t xml:space="preserve"> I. et A. </w:t>
      </w:r>
      <w:r w:rsidR="001D6D87">
        <w:rPr>
          <w:rFonts w:ascii="Times New Roman" w:hAnsi="Times New Roman" w:cs="Times New Roman"/>
          <w:bCs/>
          <w:smallCaps/>
          <w:lang w:val="en-US"/>
        </w:rPr>
        <w:t>Tsingarida</w:t>
      </w:r>
      <w:r w:rsidR="001D6D87">
        <w:rPr>
          <w:rFonts w:ascii="Times New Roman" w:hAnsi="Times New Roman" w:cs="Times New Roman"/>
          <w:bCs/>
          <w:lang w:val="en-US"/>
        </w:rPr>
        <w:t xml:space="preserve"> (dir.), </w:t>
      </w:r>
      <w:r w:rsidR="001D6D87">
        <w:rPr>
          <w:rFonts w:ascii="Times New Roman" w:hAnsi="Times New Roman" w:cs="Times New Roman"/>
          <w:bCs/>
          <w:i/>
          <w:lang w:val="en-US"/>
        </w:rPr>
        <w:t>Beyond the Polis : Ritual Practices and the Construction of Social Identity in Early Greece (12</w:t>
      </w:r>
      <w:r w:rsidR="001D6D87">
        <w:rPr>
          <w:rFonts w:ascii="Times New Roman" w:hAnsi="Times New Roman" w:cs="Times New Roman"/>
          <w:bCs/>
          <w:i/>
          <w:vertAlign w:val="superscript"/>
          <w:lang w:val="en-US"/>
        </w:rPr>
        <w:t>th</w:t>
      </w:r>
      <w:r w:rsidR="001D6D87">
        <w:rPr>
          <w:rFonts w:ascii="Times New Roman" w:hAnsi="Times New Roman" w:cs="Times New Roman"/>
          <w:bCs/>
          <w:i/>
          <w:lang w:val="en-US"/>
        </w:rPr>
        <w:t>-6</w:t>
      </w:r>
      <w:r w:rsidR="001D6D87">
        <w:rPr>
          <w:rFonts w:ascii="Times New Roman" w:hAnsi="Times New Roman" w:cs="Times New Roman"/>
          <w:bCs/>
          <w:i/>
          <w:vertAlign w:val="superscript"/>
          <w:lang w:val="en-US"/>
        </w:rPr>
        <w:t>th</w:t>
      </w:r>
      <w:r w:rsidR="001D6D87">
        <w:rPr>
          <w:rFonts w:ascii="Times New Roman" w:hAnsi="Times New Roman" w:cs="Times New Roman"/>
          <w:bCs/>
          <w:i/>
          <w:lang w:val="en-US"/>
        </w:rPr>
        <w:t xml:space="preserve"> Centuries B.C.)</w:t>
      </w:r>
      <w:r w:rsidR="001D6D87">
        <w:rPr>
          <w:rFonts w:ascii="Times New Roman" w:hAnsi="Times New Roman" w:cs="Times New Roman"/>
          <w:bCs/>
          <w:lang w:val="en-US"/>
        </w:rPr>
        <w:t xml:space="preserve">, Bruxelles, ULB CreA. </w:t>
      </w:r>
    </w:p>
    <w:p w:rsidR="00E073AC" w:rsidRDefault="003E7191">
      <w:pPr>
        <w:spacing w:before="160"/>
        <w:ind w:left="709" w:hanging="709"/>
        <w:jc w:val="both"/>
        <w:rPr>
          <w:rFonts w:ascii="Times New Roman" w:hAnsi="Times New Roman" w:cs="Times New Roman"/>
          <w:bCs/>
          <w:lang w:val="fr-FR"/>
        </w:rPr>
      </w:pPr>
      <w:r w:rsidRPr="00162388">
        <w:rPr>
          <w:rFonts w:ascii="Times New Roman" w:hAnsi="Times New Roman" w:cs="Times New Roman"/>
          <w:bCs/>
          <w:lang w:val="en-US"/>
        </w:rPr>
        <w:t xml:space="preserve"> </w:t>
      </w:r>
      <w:r w:rsidR="001D6D87">
        <w:rPr>
          <w:rFonts w:ascii="Times New Roman" w:hAnsi="Times New Roman" w:cs="Times New Roman"/>
          <w:bCs/>
          <w:lang w:val="fr-FR"/>
        </w:rPr>
        <w:t>[À paraître</w:t>
      </w:r>
      <w:r w:rsidR="001D6D87">
        <w:rPr>
          <w:rFonts w:ascii="Times New Roman" w:hAnsi="Times New Roman" w:cs="Times New Roman"/>
          <w:sz w:val="22"/>
          <w:szCs w:val="22"/>
          <w:lang w:val="fr-FR"/>
        </w:rPr>
        <w:t>]</w:t>
      </w:r>
      <w:r w:rsidR="001D6D87">
        <w:rPr>
          <w:rFonts w:ascii="Times New Roman" w:hAnsi="Times New Roman" w:cs="Times New Roman"/>
          <w:bCs/>
          <w:lang w:val="fr-FR"/>
        </w:rPr>
        <w:t xml:space="preserve"> : </w:t>
      </w:r>
      <w:r w:rsidR="001D6D87">
        <w:rPr>
          <w:rFonts w:ascii="Times New Roman" w:hAnsi="Times New Roman" w:cs="Times New Roman"/>
          <w:b/>
          <w:bCs/>
          <w:smallCaps/>
          <w:lang w:val="fr-FR"/>
        </w:rPr>
        <w:t>Bérard</w:t>
      </w:r>
      <w:r w:rsidR="001D6D87">
        <w:rPr>
          <w:rFonts w:ascii="Times New Roman" w:hAnsi="Times New Roman" w:cs="Times New Roman"/>
          <w:b/>
          <w:bCs/>
          <w:lang w:val="fr-FR"/>
        </w:rPr>
        <w:t xml:space="preserve"> R.-M.</w:t>
      </w:r>
      <w:r w:rsidR="001D6D87">
        <w:rPr>
          <w:rFonts w:ascii="Times New Roman" w:hAnsi="Times New Roman" w:cs="Times New Roman"/>
          <w:bCs/>
          <w:lang w:val="fr-FR"/>
        </w:rPr>
        <w:t xml:space="preserve"> – « Constituer et reconstituer la tombe : les sépultures plurielles de Mégara Hyblaea ». Dans : </w:t>
      </w:r>
      <w:r w:rsidR="001D6D87">
        <w:rPr>
          <w:rFonts w:ascii="Times New Roman" w:hAnsi="Times New Roman" w:cs="Times New Roman"/>
          <w:bCs/>
          <w:smallCaps/>
          <w:lang w:val="fr-FR"/>
        </w:rPr>
        <w:t>Huber S., M.-D. Nenna</w:t>
      </w:r>
      <w:r w:rsidR="001D6D87">
        <w:rPr>
          <w:rFonts w:ascii="Times New Roman" w:hAnsi="Times New Roman" w:cs="Times New Roman"/>
          <w:bCs/>
          <w:lang w:val="fr-FR"/>
        </w:rPr>
        <w:t xml:space="preserve"> et </w:t>
      </w:r>
      <w:r w:rsidR="001D6D87">
        <w:rPr>
          <w:rFonts w:ascii="Times New Roman" w:hAnsi="Times New Roman" w:cs="Times New Roman"/>
          <w:bCs/>
          <w:smallCaps/>
          <w:lang w:val="fr-FR"/>
        </w:rPr>
        <w:t>W. Van Andringa</w:t>
      </w:r>
      <w:r w:rsidR="001D6D87">
        <w:rPr>
          <w:rFonts w:ascii="Times New Roman" w:hAnsi="Times New Roman" w:cs="Times New Roman"/>
          <w:bCs/>
          <w:lang w:val="fr-FR"/>
        </w:rPr>
        <w:t xml:space="preserve"> (dir.), </w:t>
      </w:r>
      <w:r w:rsidR="001D6D87">
        <w:rPr>
          <w:rFonts w:ascii="Times New Roman" w:hAnsi="Times New Roman" w:cs="Times New Roman"/>
          <w:bCs/>
          <w:i/>
          <w:lang w:val="fr-FR"/>
        </w:rPr>
        <w:t>Constituer la tombe, honorer les défunts dans la Méditerranée hellénistique et romaine</w:t>
      </w:r>
      <w:r w:rsidR="001D6D87">
        <w:rPr>
          <w:rFonts w:ascii="Times New Roman" w:hAnsi="Times New Roman" w:cs="Times New Roman"/>
          <w:bCs/>
          <w:lang w:val="fr-FR"/>
        </w:rPr>
        <w:t xml:space="preserve">, Alexandrie, Centre d’études alexandrines. </w:t>
      </w:r>
    </w:p>
    <w:p w:rsidR="00E073AC" w:rsidRDefault="00E073AC">
      <w:pPr>
        <w:spacing w:before="160"/>
        <w:jc w:val="both"/>
        <w:rPr>
          <w:rFonts w:ascii="Times New Roman" w:hAnsi="Times New Roman" w:cs="Times New Roman"/>
          <w:bCs/>
          <w:i/>
          <w:sz w:val="18"/>
          <w:szCs w:val="18"/>
          <w:lang w:val="fr-FR"/>
        </w:rPr>
      </w:pPr>
    </w:p>
    <w:p w:rsidR="00E073AC" w:rsidRDefault="001D6D87">
      <w:pPr>
        <w:numPr>
          <w:ilvl w:val="0"/>
          <w:numId w:val="1"/>
        </w:numPr>
        <w:suppressAutoHyphens/>
        <w:spacing w:before="160" w:line="360" w:lineRule="auto"/>
        <w:jc w:val="both"/>
        <w:rPr>
          <w:rFonts w:ascii="Times New Roman" w:hAnsi="Times New Roman" w:cs="Times New Roman"/>
          <w:b/>
          <w:bCs/>
          <w:i/>
          <w:lang w:val="fr-FR"/>
        </w:rPr>
      </w:pPr>
      <w:r>
        <w:rPr>
          <w:rFonts w:ascii="Times New Roman" w:hAnsi="Times New Roman" w:cs="Times New Roman"/>
          <w:b/>
          <w:bCs/>
          <w:i/>
          <w:lang w:val="fr-FR"/>
        </w:rPr>
        <w:t>Recensions</w:t>
      </w:r>
    </w:p>
    <w:p w:rsidR="00E073AC" w:rsidRDefault="001D6D87">
      <w:pPr>
        <w:spacing w:before="160"/>
        <w:ind w:left="709" w:hanging="709"/>
        <w:jc w:val="both"/>
        <w:rPr>
          <w:rFonts w:ascii="Times New Roman" w:hAnsi="Times New Roman" w:cs="Times New Roman"/>
          <w:bCs/>
          <w:i/>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Recension de : </w:t>
      </w:r>
      <w:r>
        <w:rPr>
          <w:rFonts w:ascii="Times New Roman" w:hAnsi="Times New Roman" w:cs="Times New Roman"/>
          <w:smallCaps/>
          <w:lang w:val="fr-FR"/>
        </w:rPr>
        <w:t>Portat E</w:t>
      </w:r>
      <w:r>
        <w:rPr>
          <w:rFonts w:ascii="Times New Roman" w:hAnsi="Times New Roman" w:cs="Times New Roman"/>
          <w:lang w:val="fr-FR"/>
        </w:rPr>
        <w:t xml:space="preserve">., </w:t>
      </w:r>
      <w:r>
        <w:rPr>
          <w:rFonts w:ascii="Times New Roman" w:hAnsi="Times New Roman" w:cs="Times New Roman"/>
          <w:smallCaps/>
          <w:lang w:val="fr-FR"/>
        </w:rPr>
        <w:t xml:space="preserve">Detante M., Buquet-marcon C. </w:t>
      </w:r>
      <w:r>
        <w:rPr>
          <w:rFonts w:ascii="Times New Roman" w:hAnsi="Times New Roman" w:cs="Times New Roman"/>
          <w:lang w:val="fr-FR"/>
        </w:rPr>
        <w:t>et</w:t>
      </w:r>
      <w:r>
        <w:rPr>
          <w:rFonts w:ascii="Times New Roman" w:hAnsi="Times New Roman" w:cs="Times New Roman"/>
          <w:smallCaps/>
          <w:lang w:val="fr-FR"/>
        </w:rPr>
        <w:t xml:space="preserve"> M. Guillon </w:t>
      </w:r>
      <w:r>
        <w:rPr>
          <w:rFonts w:ascii="Times New Roman" w:hAnsi="Times New Roman" w:cs="Times New Roman"/>
          <w:lang w:val="fr-FR"/>
        </w:rPr>
        <w:t xml:space="preserve">(dir.) </w:t>
      </w:r>
      <w:r>
        <w:rPr>
          <w:rFonts w:ascii="Times New Roman" w:hAnsi="Times New Roman" w:cs="Times New Roman"/>
          <w:smallCaps/>
          <w:lang w:val="fr-FR"/>
        </w:rPr>
        <w:t xml:space="preserve"> </w:t>
      </w:r>
      <w:r>
        <w:rPr>
          <w:rFonts w:ascii="Times New Roman" w:hAnsi="Times New Roman" w:cs="Times New Roman"/>
          <w:lang w:val="fr-FR"/>
        </w:rPr>
        <w:t xml:space="preserve">– </w:t>
      </w:r>
      <w:r>
        <w:rPr>
          <w:rFonts w:ascii="Times New Roman" w:hAnsi="Times New Roman" w:cs="Times New Roman"/>
          <w:i/>
          <w:lang w:val="fr-FR"/>
        </w:rPr>
        <w:t>Rencontres autour de la mort des tout-petits. Mortalité fœtale et infantile</w:t>
      </w:r>
      <w:r>
        <w:rPr>
          <w:rFonts w:ascii="Times New Roman" w:hAnsi="Times New Roman" w:cs="Times New Roman"/>
          <w:lang w:val="fr-FR"/>
        </w:rPr>
        <w:t>, Saint-Germain-en-Laye, Publications du GAAF, 2016 </w:t>
      </w:r>
      <w:r>
        <w:rPr>
          <w:rFonts w:ascii="Times New Roman" w:hAnsi="Times New Roman" w:cs="Times New Roman"/>
          <w:i/>
          <w:lang w:val="fr-FR"/>
        </w:rPr>
        <w:t xml:space="preserve">», Annales : HSS, </w:t>
      </w:r>
      <w:r>
        <w:rPr>
          <w:rFonts w:ascii="Times New Roman" w:hAnsi="Times New Roman" w:cs="Times New Roman"/>
          <w:lang w:val="fr-FR"/>
        </w:rPr>
        <w:t>2017-1, 72, p. 229-231</w:t>
      </w:r>
      <w:r>
        <w:rPr>
          <w:rFonts w:ascii="Times New Roman" w:hAnsi="Times New Roman" w:cs="Times New Roman"/>
          <w:i/>
          <w:lang w:val="fr-FR"/>
        </w:rPr>
        <w:t xml:space="preserve">. </w:t>
      </w:r>
    </w:p>
    <w:p w:rsidR="00E073AC" w:rsidRDefault="001D6D87">
      <w:pPr>
        <w:spacing w:before="160"/>
        <w:ind w:left="709" w:hanging="709"/>
        <w:jc w:val="both"/>
        <w:rPr>
          <w:rFonts w:ascii="Times New Roman" w:hAnsi="Times New Roman" w:cs="Times New Roman"/>
          <w:bCs/>
          <w:lang w:val="it-IT"/>
        </w:rPr>
      </w:pPr>
      <w:r>
        <w:rPr>
          <w:rFonts w:ascii="Times New Roman" w:hAnsi="Times New Roman" w:cs="Times New Roman"/>
          <w:b/>
          <w:bCs/>
          <w:smallCaps/>
          <w:lang w:val="it-IT"/>
        </w:rPr>
        <w:t>Bérard</w:t>
      </w:r>
      <w:r>
        <w:rPr>
          <w:rFonts w:ascii="Times New Roman" w:hAnsi="Times New Roman" w:cs="Times New Roman"/>
          <w:b/>
          <w:bCs/>
          <w:lang w:val="it-IT"/>
        </w:rPr>
        <w:t xml:space="preserve"> R.-M.</w:t>
      </w:r>
      <w:r>
        <w:rPr>
          <w:rFonts w:ascii="Times New Roman" w:hAnsi="Times New Roman" w:cs="Times New Roman"/>
          <w:bCs/>
          <w:lang w:val="it-IT"/>
        </w:rPr>
        <w:t xml:space="preserve"> – « Recension de : </w:t>
      </w:r>
      <w:r>
        <w:rPr>
          <w:rFonts w:ascii="Times New Roman" w:hAnsi="Times New Roman" w:cs="Times New Roman"/>
          <w:bCs/>
          <w:smallCaps/>
          <w:lang w:val="it-IT"/>
        </w:rPr>
        <w:t>Nizzo</w:t>
      </w:r>
      <w:r>
        <w:rPr>
          <w:rFonts w:ascii="Times New Roman" w:hAnsi="Times New Roman" w:cs="Times New Roman"/>
          <w:bCs/>
          <w:lang w:val="it-IT"/>
        </w:rPr>
        <w:t xml:space="preserve"> V. – </w:t>
      </w:r>
      <w:r>
        <w:rPr>
          <w:rFonts w:ascii="Times New Roman" w:hAnsi="Times New Roman" w:cs="Times New Roman"/>
          <w:bCs/>
          <w:i/>
          <w:lang w:val="it-IT"/>
        </w:rPr>
        <w:t>Archeologia e antropologia della Morte: storia di un idea</w:t>
      </w:r>
      <w:r>
        <w:rPr>
          <w:rFonts w:ascii="Times New Roman" w:hAnsi="Times New Roman" w:cs="Times New Roman"/>
          <w:bCs/>
          <w:lang w:val="it-IT"/>
        </w:rPr>
        <w:t xml:space="preserve">, Rome, Edipuglia, 2015 », </w:t>
      </w:r>
      <w:r>
        <w:rPr>
          <w:rFonts w:ascii="Times New Roman" w:hAnsi="Times New Roman" w:cs="Times New Roman"/>
          <w:bCs/>
          <w:i/>
          <w:lang w:val="it-IT"/>
        </w:rPr>
        <w:t xml:space="preserve">Topoi, 21, </w:t>
      </w:r>
      <w:r>
        <w:rPr>
          <w:rFonts w:ascii="Times New Roman" w:hAnsi="Times New Roman" w:cs="Times New Roman"/>
          <w:bCs/>
          <w:lang w:val="it-IT"/>
        </w:rPr>
        <w:t xml:space="preserve">2017. </w:t>
      </w:r>
    </w:p>
    <w:p w:rsidR="00E073AC" w:rsidRDefault="001D6D87">
      <w:pPr>
        <w:spacing w:before="160"/>
        <w:ind w:left="709" w:hanging="709"/>
        <w:jc w:val="both"/>
        <w:rPr>
          <w:rFonts w:ascii="Times New Roman" w:hAnsi="Times New Roman" w:cs="Times New Roman"/>
          <w:bCs/>
          <w:lang w:val="en-US"/>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Recension de : </w:t>
      </w:r>
      <w:r>
        <w:rPr>
          <w:rFonts w:ascii="Times New Roman" w:hAnsi="Times New Roman" w:cs="Times New Roman"/>
          <w:bCs/>
          <w:smallCaps/>
          <w:lang w:val="fr-FR"/>
        </w:rPr>
        <w:t>Blaineau</w:t>
      </w:r>
      <w:r>
        <w:rPr>
          <w:rFonts w:ascii="Times New Roman" w:hAnsi="Times New Roman" w:cs="Times New Roman"/>
          <w:bCs/>
          <w:lang w:val="fr-FR"/>
        </w:rPr>
        <w:t xml:space="preserve"> A. – </w:t>
      </w:r>
      <w:r>
        <w:rPr>
          <w:rFonts w:ascii="Times New Roman" w:hAnsi="Times New Roman" w:cs="Times New Roman"/>
          <w:bCs/>
          <w:i/>
          <w:lang w:val="fr-FR"/>
        </w:rPr>
        <w:t xml:space="preserve">Le cheval de guerre en Grèce ancienne, </w:t>
      </w:r>
      <w:r>
        <w:rPr>
          <w:rFonts w:ascii="Times New Roman" w:hAnsi="Times New Roman" w:cs="Times New Roman"/>
          <w:bCs/>
          <w:lang w:val="fr-FR"/>
        </w:rPr>
        <w:t>Rennes, Presses Universitaires de Rennes, 2015 </w:t>
      </w:r>
      <w:r>
        <w:rPr>
          <w:rFonts w:ascii="Times New Roman" w:hAnsi="Times New Roman" w:cs="Times New Roman"/>
          <w:bCs/>
          <w:i/>
          <w:lang w:val="fr-FR"/>
        </w:rPr>
        <w:t xml:space="preserve">». </w:t>
      </w:r>
      <w:r>
        <w:rPr>
          <w:rFonts w:ascii="Times New Roman" w:hAnsi="Times New Roman" w:cs="Times New Roman"/>
          <w:bCs/>
          <w:i/>
          <w:lang w:val="en-US"/>
        </w:rPr>
        <w:t xml:space="preserve">L’Antiquité classique, </w:t>
      </w:r>
      <w:r>
        <w:rPr>
          <w:rFonts w:ascii="Times New Roman" w:hAnsi="Times New Roman" w:cs="Times New Roman"/>
          <w:bCs/>
          <w:lang w:val="en-US"/>
        </w:rPr>
        <w:t xml:space="preserve">86, 2017, p. 510-512. </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
          <w:bCs/>
          <w:smallCaps/>
          <w:lang w:val="en-US"/>
        </w:rPr>
        <w:t>Bérard</w:t>
      </w:r>
      <w:r>
        <w:rPr>
          <w:rFonts w:ascii="Times New Roman" w:hAnsi="Times New Roman" w:cs="Times New Roman"/>
          <w:b/>
          <w:bCs/>
          <w:lang w:val="en-US"/>
        </w:rPr>
        <w:t xml:space="preserve"> R.-M.</w:t>
      </w:r>
      <w:r>
        <w:rPr>
          <w:rFonts w:ascii="Times New Roman" w:hAnsi="Times New Roman" w:cs="Times New Roman"/>
          <w:bCs/>
          <w:lang w:val="en-US"/>
        </w:rPr>
        <w:t xml:space="preserve"> –  Recension de : </w:t>
      </w:r>
      <w:r>
        <w:rPr>
          <w:rFonts w:ascii="Times New Roman" w:eastAsia="Times New Roman" w:hAnsi="Times New Roman" w:cs="Times New Roman"/>
          <w:smallCaps/>
          <w:lang w:val="en-US"/>
        </w:rPr>
        <w:t>Gebhard</w:t>
      </w:r>
      <w:r>
        <w:rPr>
          <w:rFonts w:ascii="Times New Roman" w:eastAsia="Times New Roman" w:hAnsi="Times New Roman" w:cs="Times New Roman"/>
          <w:lang w:val="en-US"/>
        </w:rPr>
        <w:t xml:space="preserve"> E., et T. </w:t>
      </w:r>
      <w:r>
        <w:rPr>
          <w:rFonts w:ascii="Times New Roman" w:eastAsia="Times New Roman" w:hAnsi="Times New Roman" w:cs="Times New Roman"/>
          <w:smallCaps/>
          <w:lang w:val="en-US"/>
        </w:rPr>
        <w:t>Gregory</w:t>
      </w:r>
      <w:r>
        <w:rPr>
          <w:rFonts w:ascii="Times New Roman" w:eastAsia="Times New Roman" w:hAnsi="Times New Roman" w:cs="Times New Roman"/>
          <w:lang w:val="en-US"/>
        </w:rPr>
        <w:t xml:space="preserve"> (dir). </w:t>
      </w:r>
      <w:r>
        <w:rPr>
          <w:rFonts w:ascii="Times New Roman" w:hAnsi="Times New Roman" w:cs="Times New Roman"/>
          <w:bCs/>
          <w:lang w:val="en-US"/>
        </w:rPr>
        <w:t>–</w:t>
      </w:r>
      <w:r>
        <w:rPr>
          <w:rFonts w:ascii="Times New Roman" w:eastAsia="Times New Roman" w:hAnsi="Times New Roman" w:cs="Times New Roman"/>
          <w:lang w:val="en-US"/>
        </w:rPr>
        <w:t xml:space="preserve"> </w:t>
      </w:r>
      <w:r>
        <w:rPr>
          <w:rFonts w:ascii="Times New Roman" w:eastAsia="Times New Roman" w:hAnsi="Times New Roman" w:cs="Times New Roman"/>
          <w:i/>
          <w:lang w:val="en-US"/>
        </w:rPr>
        <w:t>Bridge of the Untiring Sea: The Corinthian Isthmus from Prehistory to Late Antiquity</w:t>
      </w:r>
      <w:r>
        <w:rPr>
          <w:rFonts w:ascii="Times New Roman" w:eastAsia="Times New Roman" w:hAnsi="Times New Roman" w:cs="Times New Roman"/>
          <w:lang w:val="en-US"/>
        </w:rPr>
        <w:t xml:space="preserve">, Athènes, American School of Classical Studies at Athens, 2015 ». </w:t>
      </w:r>
      <w:r>
        <w:rPr>
          <w:rFonts w:ascii="Times New Roman" w:eastAsia="Times New Roman" w:hAnsi="Times New Roman" w:cs="Times New Roman"/>
          <w:i/>
          <w:lang w:val="fr-FR"/>
        </w:rPr>
        <w:t>L’Antiquité classique</w:t>
      </w:r>
      <w:r>
        <w:rPr>
          <w:rFonts w:ascii="Times New Roman" w:eastAsia="Times New Roman" w:hAnsi="Times New Roman" w:cs="Times New Roman"/>
          <w:lang w:val="fr-FR"/>
        </w:rPr>
        <w:t xml:space="preserve">, 86, 2017, p. 571-573. </w:t>
      </w:r>
    </w:p>
    <w:p w:rsidR="00E073AC" w:rsidRDefault="001D6D87">
      <w:pPr>
        <w:spacing w:before="160"/>
        <w:ind w:left="709" w:hanging="709"/>
        <w:jc w:val="both"/>
        <w:rPr>
          <w:rFonts w:ascii="Times New Roman" w:hAnsi="Times New Roman" w:cs="Times New Roman"/>
          <w:bCs/>
          <w:i/>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Recension de : </w:t>
      </w:r>
      <w:r>
        <w:rPr>
          <w:rFonts w:ascii="Times New Roman" w:hAnsi="Times New Roman" w:cs="Times New Roman"/>
          <w:bCs/>
          <w:smallCaps/>
          <w:lang w:val="fr-FR"/>
        </w:rPr>
        <w:t>Brulé P</w:t>
      </w:r>
      <w:r>
        <w:rPr>
          <w:rFonts w:ascii="Times New Roman" w:hAnsi="Times New Roman" w:cs="Times New Roman"/>
          <w:bCs/>
          <w:lang w:val="fr-FR"/>
        </w:rPr>
        <w:t xml:space="preserve">. – </w:t>
      </w:r>
      <w:r>
        <w:rPr>
          <w:rFonts w:ascii="Times New Roman" w:hAnsi="Times New Roman" w:cs="Times New Roman"/>
          <w:bCs/>
          <w:i/>
          <w:lang w:val="fr-FR"/>
        </w:rPr>
        <w:t>Les sens du poil (grec)</w:t>
      </w:r>
      <w:r>
        <w:rPr>
          <w:rFonts w:ascii="Times New Roman" w:hAnsi="Times New Roman" w:cs="Times New Roman"/>
          <w:bCs/>
          <w:lang w:val="fr-FR"/>
        </w:rPr>
        <w:t xml:space="preserve">, Paris, Les Belles Lettres, 2015 ». </w:t>
      </w:r>
      <w:r>
        <w:rPr>
          <w:rFonts w:ascii="Times New Roman" w:hAnsi="Times New Roman" w:cs="Times New Roman"/>
          <w:bCs/>
          <w:i/>
          <w:lang w:val="fr-FR"/>
        </w:rPr>
        <w:t xml:space="preserve">L’Antiquité classique, </w:t>
      </w:r>
      <w:r>
        <w:rPr>
          <w:rFonts w:ascii="Times New Roman" w:hAnsi="Times New Roman" w:cs="Times New Roman"/>
          <w:bCs/>
          <w:lang w:val="fr-FR"/>
        </w:rPr>
        <w:t xml:space="preserve">85, 2016, p. 394-395. </w:t>
      </w:r>
    </w:p>
    <w:p w:rsidR="00E073AC" w:rsidRDefault="001D6D87">
      <w:pPr>
        <w:spacing w:before="160"/>
        <w:ind w:left="709" w:hanging="709"/>
        <w:jc w:val="both"/>
        <w:rPr>
          <w:rFonts w:ascii="Times New Roman" w:hAnsi="Times New Roman" w:cs="Times New Roman"/>
          <w:bCs/>
          <w:lang w:val="it-IT"/>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Recension de : </w:t>
      </w:r>
      <w:r>
        <w:rPr>
          <w:rFonts w:ascii="Times New Roman" w:hAnsi="Times New Roman" w:cs="Times New Roman"/>
          <w:bCs/>
          <w:smallCaps/>
          <w:lang w:val="fr-FR"/>
        </w:rPr>
        <w:t>Halm Tisserant M.</w:t>
      </w:r>
      <w:r>
        <w:rPr>
          <w:rFonts w:ascii="Times New Roman" w:hAnsi="Times New Roman" w:cs="Times New Roman"/>
          <w:bCs/>
          <w:lang w:val="fr-FR"/>
        </w:rPr>
        <w:t xml:space="preserve"> – </w:t>
      </w:r>
      <w:r>
        <w:rPr>
          <w:rFonts w:ascii="Times New Roman" w:hAnsi="Times New Roman" w:cs="Times New Roman"/>
          <w:bCs/>
          <w:i/>
          <w:lang w:val="fr-FR"/>
        </w:rPr>
        <w:t>Réalités et imaginaires des supplices en Grèce ancienne</w:t>
      </w:r>
      <w:r>
        <w:rPr>
          <w:rFonts w:ascii="Times New Roman" w:hAnsi="Times New Roman" w:cs="Times New Roman"/>
          <w:bCs/>
          <w:lang w:val="fr-FR"/>
        </w:rPr>
        <w:t xml:space="preserve">, Paris, Les Belles Lettres, 2013 ». </w:t>
      </w:r>
      <w:r>
        <w:rPr>
          <w:rFonts w:ascii="Times New Roman" w:hAnsi="Times New Roman" w:cs="Times New Roman"/>
          <w:bCs/>
          <w:i/>
          <w:lang w:val="it-IT"/>
        </w:rPr>
        <w:t xml:space="preserve">L’Antiquité classique, </w:t>
      </w:r>
      <w:r>
        <w:rPr>
          <w:rFonts w:ascii="Times New Roman" w:hAnsi="Times New Roman" w:cs="Times New Roman"/>
          <w:bCs/>
          <w:lang w:val="it-IT"/>
        </w:rPr>
        <w:t xml:space="preserve">85, 2016, p. 393-394. </w:t>
      </w:r>
    </w:p>
    <w:p w:rsidR="00E073AC" w:rsidRDefault="001D6D87">
      <w:pPr>
        <w:spacing w:before="160"/>
        <w:ind w:left="709" w:hanging="709"/>
        <w:jc w:val="both"/>
        <w:rPr>
          <w:rFonts w:ascii="Times New Roman" w:hAnsi="Times New Roman" w:cs="Times New Roman"/>
          <w:bCs/>
          <w:lang w:val="it-IT"/>
        </w:rPr>
      </w:pPr>
      <w:r>
        <w:rPr>
          <w:rFonts w:ascii="Times New Roman" w:hAnsi="Times New Roman" w:cs="Times New Roman"/>
          <w:b/>
          <w:bCs/>
          <w:smallCaps/>
          <w:lang w:val="it-IT"/>
        </w:rPr>
        <w:t>Bérard</w:t>
      </w:r>
      <w:r>
        <w:rPr>
          <w:rFonts w:ascii="Times New Roman" w:hAnsi="Times New Roman" w:cs="Times New Roman"/>
          <w:b/>
          <w:bCs/>
          <w:lang w:val="it-IT"/>
        </w:rPr>
        <w:t xml:space="preserve"> R.-M.</w:t>
      </w:r>
      <w:r>
        <w:rPr>
          <w:rFonts w:ascii="Times New Roman" w:hAnsi="Times New Roman" w:cs="Times New Roman"/>
          <w:bCs/>
          <w:lang w:val="it-IT"/>
        </w:rPr>
        <w:t xml:space="preserve"> – « Recension de : </w:t>
      </w:r>
      <w:r>
        <w:rPr>
          <w:rFonts w:ascii="Times New Roman" w:hAnsi="Times New Roman" w:cs="Times New Roman"/>
          <w:bCs/>
          <w:smallCaps/>
          <w:lang w:val="it-IT"/>
        </w:rPr>
        <w:t>Pisani M</w:t>
      </w:r>
      <w:r>
        <w:rPr>
          <w:rFonts w:ascii="Times New Roman" w:hAnsi="Times New Roman" w:cs="Times New Roman"/>
          <w:bCs/>
          <w:lang w:val="it-IT"/>
        </w:rPr>
        <w:t xml:space="preserve">. - </w:t>
      </w:r>
      <w:r>
        <w:rPr>
          <w:rFonts w:ascii="Times New Roman" w:hAnsi="Times New Roman" w:cs="Times New Roman"/>
          <w:bCs/>
          <w:i/>
          <w:lang w:val="it-IT"/>
        </w:rPr>
        <w:t>Avvolti dalla morte. Ipotesi di ricostruzione di un rituale di incinerazione a Tebe</w:t>
      </w:r>
      <w:r>
        <w:rPr>
          <w:rFonts w:ascii="Times New Roman" w:hAnsi="Times New Roman" w:cs="Times New Roman"/>
          <w:bCs/>
          <w:lang w:val="it-IT"/>
        </w:rPr>
        <w:t>, Athènes, Scuola Archeologica di Atene, 2013</w:t>
      </w:r>
      <w:r>
        <w:rPr>
          <w:rFonts w:ascii="Times New Roman" w:eastAsia="Times New Roman" w:hAnsi="Times New Roman" w:cs="Times New Roman"/>
          <w:lang w:val="it-IT"/>
        </w:rPr>
        <w:t xml:space="preserve"> », </w:t>
      </w:r>
      <w:r>
        <w:rPr>
          <w:rFonts w:ascii="Times New Roman" w:eastAsia="Times New Roman" w:hAnsi="Times New Roman" w:cs="Times New Roman"/>
          <w:i/>
          <w:lang w:val="it-IT"/>
        </w:rPr>
        <w:t>L’Antiquité classique</w:t>
      </w:r>
      <w:r>
        <w:rPr>
          <w:rFonts w:ascii="Times New Roman" w:eastAsia="Times New Roman" w:hAnsi="Times New Roman" w:cs="Times New Roman"/>
          <w:lang w:val="it-IT"/>
        </w:rPr>
        <w:t xml:space="preserve">, 84, 2015, p. 480-482. </w:t>
      </w:r>
    </w:p>
    <w:p w:rsidR="00E073AC" w:rsidRDefault="001D6D87">
      <w:pPr>
        <w:spacing w:before="160"/>
        <w:ind w:left="709" w:hanging="709"/>
        <w:jc w:val="both"/>
        <w:rPr>
          <w:rFonts w:ascii="Times New Roman" w:eastAsia="Times New Roman" w:hAnsi="Times New Roman" w:cs="Times New Roman"/>
          <w:lang w:val="it-IT"/>
        </w:rPr>
      </w:pPr>
      <w:r>
        <w:rPr>
          <w:rFonts w:ascii="Times New Roman" w:hAnsi="Times New Roman" w:cs="Times New Roman"/>
          <w:b/>
          <w:bCs/>
          <w:smallCaps/>
          <w:lang w:val="it-IT"/>
        </w:rPr>
        <w:t>Bérard</w:t>
      </w:r>
      <w:r>
        <w:rPr>
          <w:rFonts w:ascii="Times New Roman" w:hAnsi="Times New Roman" w:cs="Times New Roman"/>
          <w:b/>
          <w:bCs/>
          <w:lang w:val="it-IT"/>
        </w:rPr>
        <w:t xml:space="preserve"> R.-M.</w:t>
      </w:r>
      <w:r>
        <w:rPr>
          <w:rFonts w:ascii="Times New Roman" w:hAnsi="Times New Roman" w:cs="Times New Roman"/>
          <w:bCs/>
          <w:lang w:val="it-IT"/>
        </w:rPr>
        <w:t xml:space="preserve"> – « Recension de : </w:t>
      </w:r>
      <w:r>
        <w:rPr>
          <w:rFonts w:ascii="Times New Roman" w:hAnsi="Times New Roman" w:cs="Times New Roman"/>
          <w:bCs/>
          <w:smallCaps/>
          <w:lang w:val="it-IT"/>
        </w:rPr>
        <w:t>Sporn K</w:t>
      </w:r>
      <w:r>
        <w:rPr>
          <w:rFonts w:ascii="Times New Roman" w:hAnsi="Times New Roman" w:cs="Times New Roman"/>
          <w:bCs/>
          <w:lang w:val="it-IT"/>
        </w:rPr>
        <w:t xml:space="preserve">. (dir.), </w:t>
      </w:r>
      <w:r>
        <w:rPr>
          <w:rFonts w:ascii="Times New Roman" w:hAnsi="Times New Roman" w:cs="Times New Roman"/>
          <w:bCs/>
          <w:i/>
          <w:lang w:val="it-IT"/>
        </w:rPr>
        <w:t>Griechische Grabbezirke klassischer Zeit, Normen und Regionalismen</w:t>
      </w:r>
      <w:r>
        <w:rPr>
          <w:rFonts w:ascii="Times New Roman" w:hAnsi="Times New Roman" w:cs="Times New Roman"/>
          <w:bCs/>
          <w:lang w:val="it-IT"/>
        </w:rPr>
        <w:t xml:space="preserve">, </w:t>
      </w:r>
      <w:r>
        <w:rPr>
          <w:rFonts w:ascii="Times New Roman" w:eastAsia="Times New Roman" w:hAnsi="Times New Roman" w:cs="Times New Roman"/>
          <w:lang w:val="it-IT"/>
        </w:rPr>
        <w:t xml:space="preserve">Mitteilungen des Deutschen Archäologischen Instituts, </w:t>
      </w:r>
      <w:r>
        <w:rPr>
          <w:rFonts w:ascii="Times New Roman" w:eastAsia="Times New Roman" w:hAnsi="Times New Roman" w:cs="Times New Roman"/>
          <w:iCs/>
          <w:lang w:val="it-IT"/>
        </w:rPr>
        <w:t>Athenische Abteilung, Athenaia</w:t>
      </w:r>
      <w:r>
        <w:rPr>
          <w:rFonts w:ascii="Times New Roman" w:eastAsia="Times New Roman" w:hAnsi="Times New Roman" w:cs="Times New Roman"/>
          <w:lang w:val="it-IT"/>
        </w:rPr>
        <w:t xml:space="preserve"> Band 6, 2013 », </w:t>
      </w:r>
      <w:r>
        <w:rPr>
          <w:rFonts w:ascii="Times New Roman" w:eastAsia="Times New Roman" w:hAnsi="Times New Roman" w:cs="Times New Roman"/>
          <w:i/>
          <w:lang w:val="it-IT"/>
        </w:rPr>
        <w:t>L’Antiquité classique</w:t>
      </w:r>
      <w:r>
        <w:rPr>
          <w:rFonts w:ascii="Times New Roman" w:eastAsia="Times New Roman" w:hAnsi="Times New Roman" w:cs="Times New Roman"/>
          <w:lang w:val="it-IT"/>
        </w:rPr>
        <w:t>, 84, 2015, p. 478-480.</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Cs/>
          <w:lang w:val="fr-FR"/>
        </w:rPr>
        <w:t>[À paraître</w:t>
      </w:r>
      <w:r>
        <w:rPr>
          <w:rFonts w:ascii="Times New Roman" w:hAnsi="Times New Roman" w:cs="Times New Roman"/>
          <w:sz w:val="22"/>
          <w:szCs w:val="22"/>
          <w:lang w:val="fr-FR"/>
        </w:rPr>
        <w:t>]</w:t>
      </w:r>
      <w:r>
        <w:rPr>
          <w:rFonts w:ascii="Times New Roman" w:hAnsi="Times New Roman" w:cs="Times New Roman"/>
          <w:bCs/>
          <w:lang w:val="fr-FR"/>
        </w:rPr>
        <w:t xml:space="preserve"> : </w:t>
      </w: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Recension de : </w:t>
      </w:r>
      <w:r>
        <w:rPr>
          <w:rFonts w:ascii="Times New Roman" w:hAnsi="Times New Roman" w:cs="Times New Roman"/>
          <w:bCs/>
          <w:smallCaps/>
          <w:lang w:val="fr-FR"/>
        </w:rPr>
        <w:t>Bodiou</w:t>
      </w:r>
      <w:r>
        <w:rPr>
          <w:rFonts w:ascii="Times New Roman" w:hAnsi="Times New Roman" w:cs="Times New Roman"/>
          <w:bCs/>
          <w:lang w:val="fr-FR"/>
        </w:rPr>
        <w:t xml:space="preserve"> L. et V. </w:t>
      </w:r>
      <w:r>
        <w:rPr>
          <w:rFonts w:ascii="Times New Roman" w:hAnsi="Times New Roman" w:cs="Times New Roman"/>
          <w:bCs/>
          <w:smallCaps/>
          <w:lang w:val="fr-FR"/>
        </w:rPr>
        <w:t>Mehl</w:t>
      </w:r>
      <w:r>
        <w:rPr>
          <w:rFonts w:ascii="Times New Roman" w:hAnsi="Times New Roman" w:cs="Times New Roman"/>
          <w:bCs/>
          <w:lang w:val="fr-FR"/>
        </w:rPr>
        <w:t xml:space="preserve"> (dir.) – L’Antiquité écarlate : le sang des Anciens. Rennes, Presses Universitaires de Rennes, 2017 ». </w:t>
      </w:r>
      <w:r>
        <w:rPr>
          <w:rFonts w:ascii="Times New Roman" w:hAnsi="Times New Roman" w:cs="Times New Roman"/>
          <w:bCs/>
          <w:i/>
          <w:lang w:val="fr-FR"/>
        </w:rPr>
        <w:t xml:space="preserve">L’Antiquité classique. </w:t>
      </w:r>
    </w:p>
    <w:p w:rsidR="00E073AC" w:rsidRDefault="001D6D87">
      <w:pPr>
        <w:spacing w:before="160"/>
        <w:ind w:left="709" w:hanging="709"/>
        <w:jc w:val="both"/>
        <w:rPr>
          <w:rFonts w:ascii="Times New Roman" w:hAnsi="Times New Roman" w:cs="Times New Roman"/>
          <w:bCs/>
          <w:lang w:val="it-IT"/>
        </w:rPr>
      </w:pPr>
      <w:r>
        <w:rPr>
          <w:rFonts w:ascii="Times New Roman" w:hAnsi="Times New Roman" w:cs="Times New Roman"/>
          <w:bCs/>
          <w:lang w:val="fr-FR"/>
        </w:rPr>
        <w:t>[À paraître</w:t>
      </w:r>
      <w:r>
        <w:rPr>
          <w:rFonts w:ascii="Times New Roman" w:hAnsi="Times New Roman" w:cs="Times New Roman"/>
          <w:sz w:val="22"/>
          <w:szCs w:val="22"/>
          <w:lang w:val="fr-FR"/>
        </w:rPr>
        <w:t>]</w:t>
      </w:r>
      <w:r>
        <w:rPr>
          <w:rFonts w:ascii="Times New Roman" w:hAnsi="Times New Roman" w:cs="Times New Roman"/>
          <w:bCs/>
          <w:lang w:val="fr-FR"/>
        </w:rPr>
        <w:t xml:space="preserve"> : </w:t>
      </w: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Recension de : </w:t>
      </w:r>
      <w:r>
        <w:rPr>
          <w:rFonts w:ascii="Times New Roman" w:eastAsia="Times New Roman" w:hAnsi="Times New Roman" w:cs="Times New Roman"/>
          <w:smallCaps/>
          <w:lang w:val="fr-FR"/>
        </w:rPr>
        <w:t>Waldner</w:t>
      </w:r>
      <w:r>
        <w:rPr>
          <w:rFonts w:ascii="Times New Roman" w:eastAsia="Times New Roman" w:hAnsi="Times New Roman" w:cs="Times New Roman"/>
          <w:lang w:val="fr-FR"/>
        </w:rPr>
        <w:t xml:space="preserve"> K., R. </w:t>
      </w:r>
      <w:r>
        <w:rPr>
          <w:rFonts w:ascii="Times New Roman" w:eastAsia="Times New Roman" w:hAnsi="Times New Roman" w:cs="Times New Roman"/>
          <w:smallCaps/>
          <w:lang w:val="fr-FR"/>
        </w:rPr>
        <w:t>Gordon</w:t>
      </w:r>
      <w:r>
        <w:rPr>
          <w:rFonts w:ascii="Times New Roman" w:eastAsia="Times New Roman" w:hAnsi="Times New Roman" w:cs="Times New Roman"/>
          <w:lang w:val="fr-FR"/>
        </w:rPr>
        <w:t xml:space="preserve"> et W. </w:t>
      </w:r>
      <w:r>
        <w:rPr>
          <w:rFonts w:ascii="Times New Roman" w:eastAsia="Times New Roman" w:hAnsi="Times New Roman" w:cs="Times New Roman"/>
          <w:smallCaps/>
          <w:lang w:val="fr-FR"/>
        </w:rPr>
        <w:t>Spickermann</w:t>
      </w:r>
      <w:r>
        <w:rPr>
          <w:rFonts w:ascii="Times New Roman" w:eastAsia="Times New Roman" w:hAnsi="Times New Roman" w:cs="Times New Roman"/>
          <w:lang w:val="fr-FR"/>
        </w:rPr>
        <w:t xml:space="preserve"> (dir.) – </w:t>
      </w:r>
      <w:r>
        <w:rPr>
          <w:rFonts w:ascii="Times New Roman" w:eastAsia="Times New Roman" w:hAnsi="Times New Roman" w:cs="Times New Roman"/>
          <w:i/>
          <w:lang w:val="fr-FR"/>
        </w:rPr>
        <w:t>Burial Rituals, Ideas of Afterlife and the Individual in the Hellenistic World and the Roman Empire</w:t>
      </w:r>
      <w:r>
        <w:rPr>
          <w:rFonts w:ascii="Times New Roman" w:eastAsia="Times New Roman" w:hAnsi="Times New Roman" w:cs="Times New Roman"/>
          <w:lang w:val="fr-FR"/>
        </w:rPr>
        <w:t>, Stuttgart, Steiner, 2016</w:t>
      </w:r>
      <w:r>
        <w:rPr>
          <w:rFonts w:ascii="Times New Roman" w:hAnsi="Times New Roman" w:cs="Times New Roman"/>
          <w:bCs/>
          <w:lang w:val="fr-FR"/>
        </w:rPr>
        <w:t xml:space="preserve"> ». </w:t>
      </w:r>
      <w:r>
        <w:rPr>
          <w:rFonts w:ascii="Times New Roman" w:hAnsi="Times New Roman" w:cs="Times New Roman"/>
          <w:bCs/>
          <w:i/>
          <w:lang w:val="it-IT"/>
        </w:rPr>
        <w:t>L’Antiquité classique.</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Cs/>
          <w:lang w:val="it-IT"/>
        </w:rPr>
        <w:t>[À paraître</w:t>
      </w:r>
      <w:r>
        <w:rPr>
          <w:rFonts w:ascii="Times New Roman" w:hAnsi="Times New Roman" w:cs="Times New Roman"/>
          <w:sz w:val="22"/>
          <w:szCs w:val="22"/>
          <w:lang w:val="it-IT"/>
        </w:rPr>
        <w:t>]</w:t>
      </w:r>
      <w:r>
        <w:rPr>
          <w:rFonts w:ascii="Times New Roman" w:hAnsi="Times New Roman" w:cs="Times New Roman"/>
          <w:bCs/>
          <w:lang w:val="it-IT"/>
        </w:rPr>
        <w:t xml:space="preserve"> : </w:t>
      </w:r>
      <w:r>
        <w:rPr>
          <w:rFonts w:ascii="Times New Roman" w:hAnsi="Times New Roman" w:cs="Times New Roman"/>
          <w:b/>
          <w:bCs/>
          <w:smallCaps/>
          <w:lang w:val="it-IT"/>
        </w:rPr>
        <w:t>Bérard</w:t>
      </w:r>
      <w:r>
        <w:rPr>
          <w:rFonts w:ascii="Times New Roman" w:hAnsi="Times New Roman" w:cs="Times New Roman"/>
          <w:b/>
          <w:bCs/>
          <w:lang w:val="it-IT"/>
        </w:rPr>
        <w:t xml:space="preserve"> R.-M.</w:t>
      </w:r>
      <w:r>
        <w:rPr>
          <w:rFonts w:ascii="Times New Roman" w:hAnsi="Times New Roman" w:cs="Times New Roman"/>
          <w:bCs/>
          <w:lang w:val="it-IT"/>
        </w:rPr>
        <w:t xml:space="preserve"> – « Recension de : </w:t>
      </w:r>
      <w:r>
        <w:rPr>
          <w:rFonts w:ascii="Times New Roman" w:eastAsia="Times New Roman" w:hAnsi="Times New Roman" w:cs="Times New Roman"/>
          <w:smallCaps/>
          <w:lang w:val="it-IT"/>
        </w:rPr>
        <w:t>Canali de Rossi F.</w:t>
      </w:r>
      <w:r>
        <w:rPr>
          <w:rFonts w:ascii="Times New Roman" w:eastAsia="Times New Roman" w:hAnsi="Times New Roman" w:cs="Times New Roman"/>
          <w:lang w:val="it-IT"/>
        </w:rPr>
        <w:t xml:space="preserve"> – </w:t>
      </w:r>
      <w:r>
        <w:rPr>
          <w:rFonts w:ascii="Times New Roman" w:eastAsia="Times New Roman" w:hAnsi="Times New Roman" w:cs="Times New Roman"/>
          <w:i/>
          <w:lang w:val="it-IT"/>
        </w:rPr>
        <w:t>Hippik</w:t>
      </w:r>
      <w:r>
        <w:rPr>
          <w:rStyle w:val="Strong"/>
          <w:rFonts w:ascii="Times New Roman" w:eastAsia="Times New Roman" w:hAnsi="Times New Roman" w:cs="Times New Roman"/>
          <w:i/>
          <w:lang w:val="it-IT"/>
        </w:rPr>
        <w:t>á</w:t>
      </w:r>
      <w:r>
        <w:rPr>
          <w:rFonts w:ascii="Times New Roman" w:eastAsia="Times New Roman" w:hAnsi="Times New Roman" w:cs="Times New Roman"/>
          <w:i/>
          <w:lang w:val="it-IT"/>
        </w:rPr>
        <w:t>, Corse di cavalli e di carri in Grecia, Etruria e Roma. Volume II: Le corse al galoppo montato nell’ antica Grecia</w:t>
      </w:r>
      <w:r>
        <w:rPr>
          <w:rFonts w:ascii="Times New Roman" w:eastAsia="Times New Roman" w:hAnsi="Times New Roman" w:cs="Times New Roman"/>
          <w:lang w:val="it-IT"/>
        </w:rPr>
        <w:t xml:space="preserve">. </w:t>
      </w:r>
      <w:r>
        <w:rPr>
          <w:rFonts w:ascii="Times New Roman" w:eastAsia="Times New Roman" w:hAnsi="Times New Roman" w:cs="Times New Roman"/>
          <w:lang w:val="fr-FR"/>
        </w:rPr>
        <w:t>Hildesheim, Weidmann, 2016</w:t>
      </w:r>
      <w:r>
        <w:rPr>
          <w:rFonts w:ascii="Times New Roman" w:eastAsia="Times New Roman" w:hAnsi="Times New Roman" w:cs="Times New Roman"/>
          <w:i/>
          <w:lang w:val="fr-FR"/>
        </w:rPr>
        <w:t xml:space="preserve"> </w:t>
      </w:r>
      <w:r>
        <w:rPr>
          <w:rFonts w:ascii="Times New Roman" w:hAnsi="Times New Roman" w:cs="Times New Roman"/>
          <w:bCs/>
          <w:lang w:val="fr-FR"/>
        </w:rPr>
        <w:t xml:space="preserve">». </w:t>
      </w:r>
      <w:r>
        <w:rPr>
          <w:rFonts w:ascii="Times New Roman" w:hAnsi="Times New Roman" w:cs="Times New Roman"/>
          <w:bCs/>
          <w:i/>
          <w:lang w:val="fr-FR"/>
        </w:rPr>
        <w:t>L’Antiquité classique.</w:t>
      </w:r>
    </w:p>
    <w:p w:rsidR="00E073AC" w:rsidRDefault="00E073AC">
      <w:pPr>
        <w:spacing w:before="160"/>
        <w:ind w:left="709" w:hanging="709"/>
        <w:jc w:val="both"/>
        <w:rPr>
          <w:rFonts w:ascii="Times New Roman" w:eastAsia="Times New Roman" w:hAnsi="Times New Roman" w:cs="Times New Roman"/>
          <w:sz w:val="16"/>
          <w:szCs w:val="16"/>
          <w:lang w:val="fr-FR"/>
        </w:rPr>
      </w:pPr>
    </w:p>
    <w:p w:rsidR="00E073AC" w:rsidRDefault="001D6D87">
      <w:pPr>
        <w:keepNext/>
        <w:numPr>
          <w:ilvl w:val="0"/>
          <w:numId w:val="1"/>
        </w:numPr>
        <w:suppressAutoHyphens/>
        <w:spacing w:before="160" w:line="360" w:lineRule="auto"/>
        <w:jc w:val="both"/>
        <w:rPr>
          <w:rFonts w:ascii="Times New Roman" w:hAnsi="Times New Roman" w:cs="Times New Roman"/>
          <w:b/>
          <w:i/>
          <w:iCs/>
          <w:lang w:val="fr-FR"/>
        </w:rPr>
      </w:pPr>
      <w:r>
        <w:rPr>
          <w:rFonts w:ascii="Times New Roman" w:hAnsi="Times New Roman" w:cs="Times New Roman"/>
          <w:b/>
          <w:i/>
          <w:iCs/>
          <w:lang w:val="fr-FR"/>
        </w:rPr>
        <w:t>Publication électronique</w:t>
      </w:r>
    </w:p>
    <w:p w:rsidR="00E073AC" w:rsidRDefault="001D6D87">
      <w:pPr>
        <w:keepNext/>
        <w:spacing w:before="160"/>
        <w:ind w:left="709" w:hanging="709"/>
        <w:jc w:val="both"/>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Autour du cadavre exposé : problèmes éthiques, juridiques et politiques ». Publication en ligne </w:t>
      </w:r>
      <w:r>
        <w:rPr>
          <w:rFonts w:ascii="Times New Roman" w:hAnsi="Times New Roman" w:cs="Times New Roman"/>
          <w:lang w:val="fr-FR"/>
        </w:rPr>
        <w:t>sur le carnet Hypothèses du séminaire en sciences sociales des membres de l’École Française de Rome, 2016. (</w:t>
      </w:r>
      <w:hyperlink r:id="rId8">
        <w:r>
          <w:rPr>
            <w:rStyle w:val="LienInternet"/>
            <w:rFonts w:ascii="Times New Roman" w:hAnsi="Times New Roman" w:cs="Times New Roman"/>
            <w:lang w:val="fr-FR"/>
          </w:rPr>
          <w:t>http://semefr.hypotheses.org/1687</w:t>
        </w:r>
      </w:hyperlink>
      <w:r>
        <w:rPr>
          <w:rFonts w:ascii="Times New Roman" w:hAnsi="Times New Roman" w:cs="Times New Roman"/>
          <w:lang w:val="fr-FR"/>
        </w:rPr>
        <w:t xml:space="preserve">). </w:t>
      </w:r>
    </w:p>
    <w:p w:rsidR="00E073AC" w:rsidRDefault="00E073AC">
      <w:pPr>
        <w:keepNext/>
        <w:suppressAutoHyphens/>
        <w:spacing w:before="160" w:line="360" w:lineRule="auto"/>
        <w:jc w:val="both"/>
        <w:rPr>
          <w:rFonts w:ascii="Times New Roman" w:hAnsi="Times New Roman" w:cs="Times New Roman"/>
          <w:b/>
          <w:bCs/>
          <w:i/>
          <w:sz w:val="16"/>
          <w:szCs w:val="16"/>
          <w:lang w:val="fr-FR"/>
        </w:rPr>
      </w:pPr>
    </w:p>
    <w:p w:rsidR="00E073AC" w:rsidRDefault="001D6D87">
      <w:pPr>
        <w:numPr>
          <w:ilvl w:val="0"/>
          <w:numId w:val="1"/>
        </w:numPr>
        <w:suppressAutoHyphens/>
        <w:spacing w:before="160" w:line="360" w:lineRule="auto"/>
        <w:jc w:val="both"/>
        <w:rPr>
          <w:rFonts w:ascii="Times New Roman" w:hAnsi="Times New Roman" w:cs="Times New Roman"/>
          <w:b/>
          <w:bCs/>
          <w:i/>
          <w:lang w:val="fr-FR"/>
        </w:rPr>
      </w:pPr>
      <w:r>
        <w:rPr>
          <w:rFonts w:ascii="Times New Roman" w:hAnsi="Times New Roman" w:cs="Times New Roman"/>
          <w:b/>
          <w:bCs/>
          <w:i/>
          <w:lang w:val="fr-FR"/>
        </w:rPr>
        <w:t>Rapports de fouille publiés</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Cs/>
          <w:lang w:val="fr-FR"/>
        </w:rPr>
        <w:t xml:space="preserve">J. </w:t>
      </w:r>
      <w:r>
        <w:rPr>
          <w:rFonts w:ascii="Times New Roman" w:hAnsi="Times New Roman" w:cs="Times New Roman"/>
          <w:bCs/>
          <w:smallCaps/>
          <w:lang w:val="fr-FR"/>
        </w:rPr>
        <w:t>Zurbach</w:t>
      </w:r>
      <w:r>
        <w:rPr>
          <w:rFonts w:ascii="Times New Roman" w:hAnsi="Times New Roman" w:cs="Times New Roman"/>
          <w:bCs/>
          <w:lang w:val="fr-FR"/>
        </w:rPr>
        <w:t xml:space="preserve">, D. </w:t>
      </w:r>
      <w:r>
        <w:rPr>
          <w:rFonts w:ascii="Times New Roman" w:hAnsi="Times New Roman" w:cs="Times New Roman"/>
          <w:bCs/>
          <w:smallCaps/>
          <w:lang w:val="fr-FR"/>
        </w:rPr>
        <w:t>Skorda</w:t>
      </w:r>
      <w:r>
        <w:rPr>
          <w:rFonts w:ascii="Times New Roman" w:hAnsi="Times New Roman" w:cs="Times New Roman"/>
          <w:bCs/>
          <w:lang w:val="fr-FR"/>
        </w:rPr>
        <w:t xml:space="preserve">, R. </w:t>
      </w:r>
      <w:r>
        <w:rPr>
          <w:rFonts w:ascii="Times New Roman" w:hAnsi="Times New Roman" w:cs="Times New Roman"/>
          <w:bCs/>
          <w:smallCaps/>
          <w:lang w:val="fr-FR"/>
        </w:rPr>
        <w:t>Orgeolet</w:t>
      </w:r>
      <w:r>
        <w:rPr>
          <w:rFonts w:ascii="Times New Roman" w:hAnsi="Times New Roman" w:cs="Times New Roman"/>
          <w:bCs/>
          <w:lang w:val="fr-FR"/>
        </w:rPr>
        <w:t>, A. </w:t>
      </w:r>
      <w:r>
        <w:rPr>
          <w:rFonts w:ascii="Times New Roman" w:hAnsi="Times New Roman" w:cs="Times New Roman"/>
          <w:bCs/>
          <w:smallCaps/>
          <w:lang w:val="fr-FR"/>
        </w:rPr>
        <w:t>Lagia</w:t>
      </w:r>
      <w:r>
        <w:rPr>
          <w:rFonts w:ascii="Times New Roman" w:hAnsi="Times New Roman" w:cs="Times New Roman"/>
          <w:bCs/>
          <w:lang w:val="fr-FR"/>
        </w:rPr>
        <w:t xml:space="preserve">, I. </w:t>
      </w:r>
      <w:r>
        <w:rPr>
          <w:rFonts w:ascii="Times New Roman" w:hAnsi="Times New Roman" w:cs="Times New Roman"/>
          <w:bCs/>
          <w:smallCaps/>
          <w:lang w:val="fr-FR"/>
        </w:rPr>
        <w:t>Moutafi</w:t>
      </w:r>
      <w:r>
        <w:rPr>
          <w:rFonts w:ascii="Times New Roman" w:hAnsi="Times New Roman" w:cs="Times New Roman"/>
          <w:bCs/>
          <w:lang w:val="fr-FR"/>
        </w:rPr>
        <w:t xml:space="preserve">, </w:t>
      </w:r>
      <w:r>
        <w:rPr>
          <w:rFonts w:ascii="Times New Roman" w:hAnsi="Times New Roman" w:cs="Times New Roman"/>
          <w:b/>
          <w:bCs/>
          <w:lang w:val="fr-FR"/>
        </w:rPr>
        <w:t xml:space="preserve">R.-M. </w:t>
      </w:r>
      <w:r>
        <w:rPr>
          <w:rFonts w:ascii="Times New Roman" w:hAnsi="Times New Roman" w:cs="Times New Roman"/>
          <w:b/>
          <w:bCs/>
          <w:smallCaps/>
          <w:lang w:val="fr-FR"/>
        </w:rPr>
        <w:t>Bérard</w:t>
      </w:r>
      <w:r>
        <w:rPr>
          <w:rFonts w:ascii="Times New Roman" w:hAnsi="Times New Roman" w:cs="Times New Roman"/>
          <w:bCs/>
          <w:lang w:val="fr-FR"/>
        </w:rPr>
        <w:t xml:space="preserve">, T. </w:t>
      </w:r>
      <w:r>
        <w:rPr>
          <w:rFonts w:ascii="Times New Roman" w:hAnsi="Times New Roman" w:cs="Times New Roman"/>
          <w:bCs/>
          <w:smallCaps/>
          <w:lang w:val="fr-FR"/>
        </w:rPr>
        <w:t>Krapf</w:t>
      </w:r>
      <w:r>
        <w:rPr>
          <w:rFonts w:ascii="Times New Roman" w:hAnsi="Times New Roman" w:cs="Times New Roman"/>
          <w:bCs/>
          <w:lang w:val="fr-FR"/>
        </w:rPr>
        <w:t xml:space="preserve">, B. </w:t>
      </w:r>
      <w:r>
        <w:rPr>
          <w:rFonts w:ascii="Times New Roman" w:hAnsi="Times New Roman" w:cs="Times New Roman"/>
          <w:bCs/>
          <w:smallCaps/>
          <w:lang w:val="fr-FR"/>
        </w:rPr>
        <w:t>Simier</w:t>
      </w:r>
      <w:r>
        <w:rPr>
          <w:rFonts w:ascii="Times New Roman" w:hAnsi="Times New Roman" w:cs="Times New Roman"/>
          <w:bCs/>
          <w:lang w:val="fr-FR"/>
        </w:rPr>
        <w:t>, G. </w:t>
      </w:r>
      <w:r>
        <w:rPr>
          <w:rFonts w:ascii="Times New Roman" w:hAnsi="Times New Roman" w:cs="Times New Roman"/>
          <w:bCs/>
          <w:smallCaps/>
          <w:lang w:val="fr-FR"/>
        </w:rPr>
        <w:t>Sintès</w:t>
      </w:r>
      <w:r>
        <w:rPr>
          <w:rFonts w:ascii="Times New Roman" w:hAnsi="Times New Roman" w:cs="Times New Roman"/>
          <w:bCs/>
          <w:lang w:val="fr-FR"/>
        </w:rPr>
        <w:t xml:space="preserve"> et A. </w:t>
      </w:r>
      <w:r>
        <w:rPr>
          <w:rFonts w:ascii="Times New Roman" w:hAnsi="Times New Roman" w:cs="Times New Roman"/>
          <w:bCs/>
          <w:smallCaps/>
          <w:lang w:val="fr-FR"/>
        </w:rPr>
        <w:t>Chabrol</w:t>
      </w:r>
      <w:r>
        <w:rPr>
          <w:rFonts w:ascii="Times New Roman" w:hAnsi="Times New Roman" w:cs="Times New Roman"/>
          <w:bCs/>
          <w:lang w:val="fr-FR"/>
        </w:rPr>
        <w:t xml:space="preserve"> – « Kirrha (Phokide) : Rapport 2011 », </w:t>
      </w:r>
      <w:r>
        <w:rPr>
          <w:rFonts w:ascii="Times New Roman" w:hAnsi="Times New Roman" w:cs="Times New Roman"/>
          <w:bCs/>
          <w:i/>
          <w:lang w:val="fr-FR"/>
        </w:rPr>
        <w:t>Bulletin de Correspondance Hellénique</w:t>
      </w:r>
      <w:r>
        <w:rPr>
          <w:rFonts w:ascii="Times New Roman" w:hAnsi="Times New Roman" w:cs="Times New Roman"/>
          <w:bCs/>
          <w:lang w:val="fr-FR"/>
        </w:rPr>
        <w:t>, 136-137, 2, 2015, p. 569-592.</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Cs/>
          <w:lang w:val="fr-FR"/>
        </w:rPr>
        <w:t>[À paraître</w:t>
      </w:r>
      <w:r>
        <w:rPr>
          <w:rFonts w:ascii="Times New Roman" w:hAnsi="Times New Roman" w:cs="Times New Roman"/>
          <w:sz w:val="22"/>
          <w:szCs w:val="22"/>
          <w:lang w:val="fr-FR"/>
        </w:rPr>
        <w:t>]</w:t>
      </w:r>
      <w:r>
        <w:rPr>
          <w:rFonts w:ascii="Times New Roman" w:hAnsi="Times New Roman" w:cs="Times New Roman"/>
          <w:bCs/>
          <w:lang w:val="fr-FR"/>
        </w:rPr>
        <w:t xml:space="preserve"> : J. </w:t>
      </w:r>
      <w:r>
        <w:rPr>
          <w:rFonts w:ascii="Times New Roman" w:hAnsi="Times New Roman" w:cs="Times New Roman"/>
          <w:bCs/>
          <w:smallCaps/>
          <w:lang w:val="fr-FR"/>
        </w:rPr>
        <w:t>Zurbach</w:t>
      </w:r>
      <w:r>
        <w:rPr>
          <w:rFonts w:ascii="Times New Roman" w:hAnsi="Times New Roman" w:cs="Times New Roman"/>
          <w:bCs/>
          <w:lang w:val="fr-FR"/>
        </w:rPr>
        <w:t xml:space="preserve">, D. </w:t>
      </w:r>
      <w:r>
        <w:rPr>
          <w:rFonts w:ascii="Times New Roman" w:hAnsi="Times New Roman" w:cs="Times New Roman"/>
          <w:bCs/>
          <w:smallCaps/>
          <w:lang w:val="fr-FR"/>
        </w:rPr>
        <w:t>Skorda</w:t>
      </w:r>
      <w:r>
        <w:rPr>
          <w:rFonts w:ascii="Times New Roman" w:hAnsi="Times New Roman" w:cs="Times New Roman"/>
          <w:bCs/>
          <w:lang w:val="fr-FR"/>
        </w:rPr>
        <w:t xml:space="preserve">, R. </w:t>
      </w:r>
      <w:r>
        <w:rPr>
          <w:rFonts w:ascii="Times New Roman" w:hAnsi="Times New Roman" w:cs="Times New Roman"/>
          <w:bCs/>
          <w:smallCaps/>
          <w:lang w:val="fr-FR"/>
        </w:rPr>
        <w:t>Orgeolet</w:t>
      </w:r>
      <w:r>
        <w:rPr>
          <w:rFonts w:ascii="Times New Roman" w:hAnsi="Times New Roman" w:cs="Times New Roman"/>
          <w:bCs/>
          <w:lang w:val="fr-FR"/>
        </w:rPr>
        <w:t>, A. </w:t>
      </w:r>
      <w:r>
        <w:rPr>
          <w:rFonts w:ascii="Times New Roman" w:hAnsi="Times New Roman" w:cs="Times New Roman"/>
          <w:bCs/>
          <w:smallCaps/>
          <w:lang w:val="fr-FR"/>
        </w:rPr>
        <w:t>Lagia</w:t>
      </w:r>
      <w:r>
        <w:rPr>
          <w:rFonts w:ascii="Times New Roman" w:hAnsi="Times New Roman" w:cs="Times New Roman"/>
          <w:bCs/>
          <w:lang w:val="fr-FR"/>
        </w:rPr>
        <w:t xml:space="preserve">, I. </w:t>
      </w:r>
      <w:r>
        <w:rPr>
          <w:rFonts w:ascii="Times New Roman" w:hAnsi="Times New Roman" w:cs="Times New Roman"/>
          <w:bCs/>
          <w:smallCaps/>
          <w:lang w:val="fr-FR"/>
        </w:rPr>
        <w:t>Moutafi</w:t>
      </w:r>
      <w:r>
        <w:rPr>
          <w:rFonts w:ascii="Times New Roman" w:hAnsi="Times New Roman" w:cs="Times New Roman"/>
          <w:bCs/>
          <w:lang w:val="fr-FR"/>
        </w:rPr>
        <w:t xml:space="preserve">, </w:t>
      </w:r>
      <w:r>
        <w:rPr>
          <w:rFonts w:ascii="Times New Roman" w:hAnsi="Times New Roman" w:cs="Times New Roman"/>
          <w:b/>
          <w:bCs/>
          <w:lang w:val="fr-FR"/>
        </w:rPr>
        <w:t xml:space="preserve">R.-M. </w:t>
      </w:r>
      <w:r>
        <w:rPr>
          <w:rFonts w:ascii="Times New Roman" w:hAnsi="Times New Roman" w:cs="Times New Roman"/>
          <w:b/>
          <w:bCs/>
          <w:smallCaps/>
          <w:lang w:val="fr-FR"/>
        </w:rPr>
        <w:t>Bérard</w:t>
      </w:r>
      <w:r>
        <w:rPr>
          <w:rFonts w:ascii="Times New Roman" w:hAnsi="Times New Roman" w:cs="Times New Roman"/>
          <w:bCs/>
          <w:lang w:val="fr-FR"/>
        </w:rPr>
        <w:t>, B. </w:t>
      </w:r>
      <w:r>
        <w:rPr>
          <w:rFonts w:ascii="Times New Roman" w:hAnsi="Times New Roman" w:cs="Times New Roman"/>
          <w:bCs/>
          <w:smallCaps/>
          <w:lang w:val="fr-FR"/>
        </w:rPr>
        <w:t>Chevaux</w:t>
      </w:r>
      <w:r>
        <w:rPr>
          <w:rFonts w:ascii="Times New Roman" w:hAnsi="Times New Roman" w:cs="Times New Roman"/>
          <w:bCs/>
          <w:lang w:val="fr-FR"/>
        </w:rPr>
        <w:t>, S. </w:t>
      </w:r>
      <w:r>
        <w:rPr>
          <w:rFonts w:ascii="Times New Roman" w:hAnsi="Times New Roman" w:cs="Times New Roman"/>
          <w:bCs/>
          <w:smallCaps/>
          <w:lang w:val="fr-FR"/>
        </w:rPr>
        <w:t>Sedlbauer</w:t>
      </w:r>
      <w:r>
        <w:rPr>
          <w:rFonts w:ascii="Times New Roman" w:hAnsi="Times New Roman" w:cs="Times New Roman"/>
          <w:bCs/>
          <w:lang w:val="fr-FR"/>
        </w:rPr>
        <w:t>, G. </w:t>
      </w:r>
      <w:r>
        <w:rPr>
          <w:rFonts w:ascii="Times New Roman" w:hAnsi="Times New Roman" w:cs="Times New Roman"/>
          <w:bCs/>
          <w:smallCaps/>
          <w:lang w:val="fr-FR"/>
        </w:rPr>
        <w:t>Sintès</w:t>
      </w:r>
      <w:r>
        <w:rPr>
          <w:rFonts w:ascii="Times New Roman" w:hAnsi="Times New Roman" w:cs="Times New Roman"/>
          <w:bCs/>
          <w:lang w:val="fr-FR"/>
        </w:rPr>
        <w:t xml:space="preserve"> et A. </w:t>
      </w:r>
      <w:r>
        <w:rPr>
          <w:rFonts w:ascii="Times New Roman" w:hAnsi="Times New Roman" w:cs="Times New Roman"/>
          <w:bCs/>
          <w:smallCaps/>
          <w:lang w:val="fr-FR"/>
        </w:rPr>
        <w:t>Chabrol</w:t>
      </w:r>
      <w:r>
        <w:rPr>
          <w:rFonts w:ascii="Times New Roman" w:hAnsi="Times New Roman" w:cs="Times New Roman"/>
          <w:bCs/>
          <w:lang w:val="fr-FR"/>
        </w:rPr>
        <w:t xml:space="preserve"> « Kirrha (Phokide) : Rapport 2014 », </w:t>
      </w:r>
      <w:r>
        <w:rPr>
          <w:rFonts w:ascii="Times New Roman" w:hAnsi="Times New Roman" w:cs="Times New Roman"/>
          <w:bCs/>
          <w:i/>
          <w:lang w:val="fr-FR"/>
        </w:rPr>
        <w:t>Bulletin de Correspondance Hellénique.</w:t>
      </w:r>
    </w:p>
    <w:p w:rsidR="00E073AC" w:rsidRDefault="00E073AC">
      <w:pPr>
        <w:spacing w:before="160"/>
        <w:jc w:val="both"/>
        <w:rPr>
          <w:rFonts w:ascii="Times New Roman" w:hAnsi="Times New Roman" w:cs="Times New Roman"/>
          <w:bCs/>
          <w:sz w:val="16"/>
          <w:szCs w:val="16"/>
          <w:highlight w:val="yellow"/>
          <w:lang w:val="fr-FR"/>
        </w:rPr>
      </w:pPr>
    </w:p>
    <w:p w:rsidR="00E073AC" w:rsidRDefault="001D6D87">
      <w:pPr>
        <w:keepNext/>
        <w:numPr>
          <w:ilvl w:val="0"/>
          <w:numId w:val="1"/>
        </w:numPr>
        <w:suppressAutoHyphens/>
        <w:spacing w:before="160" w:line="360" w:lineRule="auto"/>
        <w:jc w:val="both"/>
        <w:rPr>
          <w:rFonts w:ascii="Times New Roman" w:hAnsi="Times New Roman" w:cs="Times New Roman"/>
          <w:b/>
          <w:bCs/>
          <w:i/>
          <w:lang w:val="fr-FR"/>
        </w:rPr>
      </w:pPr>
      <w:r>
        <w:rPr>
          <w:rFonts w:ascii="Times New Roman" w:hAnsi="Times New Roman" w:cs="Times New Roman"/>
          <w:b/>
          <w:bCs/>
          <w:i/>
          <w:lang w:val="fr-FR"/>
        </w:rPr>
        <w:t>Valorisation de la recherche</w:t>
      </w:r>
    </w:p>
    <w:p w:rsidR="003E7191" w:rsidRDefault="003E7191">
      <w:pPr>
        <w:keepNext/>
        <w:spacing w:before="160"/>
        <w:ind w:left="709" w:hanging="709"/>
        <w:jc w:val="both"/>
        <w:rPr>
          <w:rFonts w:ascii="Times New Roman" w:hAnsi="Times New Roman" w:cs="Times New Roman"/>
          <w:bCs/>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ExpOSer ? Loi, éthique et perception des restes humains en France au XXI</w:t>
      </w:r>
      <w:r w:rsidRPr="003E7191">
        <w:rPr>
          <w:rFonts w:ascii="Times New Roman" w:hAnsi="Times New Roman" w:cs="Times New Roman"/>
          <w:bCs/>
          <w:vertAlign w:val="superscript"/>
          <w:lang w:val="fr-FR"/>
        </w:rPr>
        <w:t>e</w:t>
      </w:r>
      <w:r>
        <w:rPr>
          <w:rFonts w:ascii="Times New Roman" w:hAnsi="Times New Roman" w:cs="Times New Roman"/>
          <w:bCs/>
          <w:lang w:val="fr-FR"/>
        </w:rPr>
        <w:t xml:space="preserve"> siècle </w:t>
      </w:r>
      <w:r w:rsidRPr="003E7191">
        <w:rPr>
          <w:rFonts w:ascii="Times New Roman" w:hAnsi="Times New Roman" w:cs="Times New Roman"/>
          <w:bCs/>
          <w:highlight w:val="yellow"/>
          <w:lang w:val="fr-FR"/>
        </w:rPr>
        <w:t xml:space="preserve">», </w:t>
      </w:r>
      <w:r w:rsidRPr="003E7191">
        <w:rPr>
          <w:rFonts w:ascii="Times New Roman" w:hAnsi="Times New Roman" w:cs="Times New Roman"/>
          <w:bCs/>
          <w:i/>
          <w:highlight w:val="yellow"/>
          <w:lang w:val="fr-FR"/>
        </w:rPr>
        <w:t>Journal de l’être lieu</w:t>
      </w:r>
      <w:r w:rsidRPr="003E7191">
        <w:rPr>
          <w:rFonts w:ascii="Times New Roman" w:hAnsi="Times New Roman" w:cs="Times New Roman"/>
          <w:bCs/>
          <w:highlight w:val="yellow"/>
          <w:lang w:val="fr-FR"/>
        </w:rPr>
        <w:t>, p.</w:t>
      </w:r>
    </w:p>
    <w:p w:rsidR="00E073AC" w:rsidRDefault="001D6D87">
      <w:pPr>
        <w:keepNext/>
        <w:spacing w:before="160"/>
        <w:ind w:left="709" w:hanging="709"/>
        <w:jc w:val="both"/>
        <w:rPr>
          <w:rFonts w:ascii="Times New Roman" w:hAnsi="Times New Roman" w:cs="Times New Roman"/>
          <w:bCs/>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Femmes de la terre : pourquoi et comment devient-on archéologue ? », </w:t>
      </w:r>
      <w:r>
        <w:rPr>
          <w:rFonts w:ascii="Times New Roman" w:hAnsi="Times New Roman" w:cs="Times New Roman"/>
          <w:bCs/>
          <w:i/>
          <w:lang w:val="fr-FR"/>
        </w:rPr>
        <w:t>Revue des femmes diplômées de l’enseignement supérieur</w:t>
      </w:r>
      <w:r>
        <w:rPr>
          <w:rFonts w:ascii="Times New Roman" w:hAnsi="Times New Roman" w:cs="Times New Roman"/>
          <w:bCs/>
          <w:lang w:val="fr-FR"/>
        </w:rPr>
        <w:t>, 239, 2011, p. 222-223.</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El Deir, Oasis de Kharga (Égypte) ». Publication en ligne sur le site de l’association « Bonne Pioche : des archéologues pour les enfants à l’hôpital, 2011. http://assobonnepioche.wordpress.com/2012/03/07/chronique-de-fouilles-el-deir-egypte/</w:t>
      </w:r>
    </w:p>
    <w:p w:rsidR="00E073AC" w:rsidRDefault="001D6D87">
      <w:pPr>
        <w:spacing w:before="160"/>
        <w:ind w:left="709" w:hanging="709"/>
        <w:jc w:val="both"/>
        <w:rPr>
          <w:rFonts w:ascii="Times New Roman" w:hAnsi="Times New Roman" w:cs="Times New Roman"/>
          <w:bCs/>
          <w:lang w:val="fr-FR"/>
        </w:rPr>
      </w:pPr>
      <w:r>
        <w:rPr>
          <w:rFonts w:ascii="Times New Roman" w:hAnsi="Times New Roman" w:cs="Times New Roman"/>
          <w:b/>
          <w:bCs/>
          <w:smallCaps/>
          <w:lang w:val="fr-FR"/>
        </w:rPr>
        <w:t>Bérard</w:t>
      </w:r>
      <w:r>
        <w:rPr>
          <w:rFonts w:ascii="Times New Roman" w:hAnsi="Times New Roman" w:cs="Times New Roman"/>
          <w:b/>
          <w:bCs/>
          <w:lang w:val="fr-FR"/>
        </w:rPr>
        <w:t xml:space="preserve"> R.-M.</w:t>
      </w:r>
      <w:r>
        <w:rPr>
          <w:rFonts w:ascii="Times New Roman" w:hAnsi="Times New Roman" w:cs="Times New Roman"/>
          <w:bCs/>
          <w:lang w:val="fr-FR"/>
        </w:rPr>
        <w:t xml:space="preserve"> – « Princes, danseurs et autres sangliers : quelques réflexions sur les noms des peuples gaulois », </w:t>
      </w:r>
      <w:r>
        <w:rPr>
          <w:rFonts w:ascii="Times New Roman" w:hAnsi="Times New Roman" w:cs="Times New Roman"/>
          <w:bCs/>
          <w:i/>
          <w:lang w:val="fr-FR"/>
        </w:rPr>
        <w:t>Chronozone. Bulletin des Sciences de l’Antiquité de l’Université de Lausanne</w:t>
      </w:r>
      <w:r>
        <w:rPr>
          <w:rFonts w:ascii="Times New Roman" w:hAnsi="Times New Roman" w:cs="Times New Roman"/>
          <w:bCs/>
          <w:lang w:val="fr-FR"/>
        </w:rPr>
        <w:t>, 13, 2007 p. 61-65.</w:t>
      </w:r>
    </w:p>
    <w:p w:rsidR="00E073AC" w:rsidRDefault="00E073AC">
      <w:pPr>
        <w:suppressAutoHyphens/>
        <w:spacing w:before="160" w:line="360" w:lineRule="auto"/>
        <w:jc w:val="both"/>
        <w:rPr>
          <w:rFonts w:ascii="Times New Roman" w:eastAsia="SimSun" w:hAnsi="Times New Roman" w:cs="Times New Roman"/>
          <w:bCs/>
          <w:lang w:val="fr-FR" w:eastAsia="zh-CN"/>
        </w:rPr>
      </w:pPr>
    </w:p>
    <w:p w:rsidR="00E073AC" w:rsidRDefault="00E073AC">
      <w:pPr>
        <w:pStyle w:val="Header"/>
      </w:pPr>
    </w:p>
    <w:sectPr w:rsidR="00E073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FD" w:rsidRDefault="00EC11FD">
      <w:r>
        <w:separator/>
      </w:r>
    </w:p>
  </w:endnote>
  <w:endnote w:type="continuationSeparator" w:id="0">
    <w:p w:rsidR="00EC11FD" w:rsidRDefault="00EC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88" w:rsidRDefault="0016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88" w:rsidRDefault="00162388">
    <w:pPr>
      <w:pStyle w:val="Footer"/>
      <w:ind w:right="360"/>
      <w:rPr>
        <w:sz w:val="20"/>
        <w:szCs w:val="20"/>
      </w:rPr>
    </w:pPr>
    <w:r>
      <w:rPr>
        <w:noProof/>
        <w:lang w:val="it-IT" w:eastAsia="it-IT"/>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85090" cy="178435"/>
              <wp:effectExtent l="0" t="0" r="0" b="0"/>
              <wp:wrapSquare wrapText="largest"/>
              <wp:docPr id="1" name="Cadre1"/>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rsidR="00162388" w:rsidRDefault="00162388">
                          <w:pPr>
                            <w:pStyle w:val="Footer"/>
                          </w:pPr>
                          <w:r>
                            <w:rPr>
                              <w:rStyle w:val="PageNumber"/>
                            </w:rPr>
                            <w:fldChar w:fldCharType="begin"/>
                          </w:r>
                          <w:r>
                            <w:instrText>PAGE</w:instrText>
                          </w:r>
                          <w:r>
                            <w:fldChar w:fldCharType="separate"/>
                          </w:r>
                          <w:r w:rsidR="00EC11FD">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44.5pt;margin-top:.05pt;width:6.7pt;height:14.0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" stroked="f">
              <v:fill opacity="0"/>
              <v:textbox style="mso-fit-shape-to-text:t" inset="0,0,0,0">
                <w:txbxContent>
                  <w:p w:rsidR="00162388" w:rsidRDefault="00162388">
                    <w:pPr>
                      <w:pStyle w:val="Footer"/>
                    </w:pPr>
                    <w:r>
                      <w:rPr>
                        <w:rStyle w:val="PageNumber"/>
                      </w:rPr>
                      <w:fldChar w:fldCharType="begin"/>
                    </w:r>
                    <w:r>
                      <w:instrText>PAGE</w:instrText>
                    </w:r>
                    <w:r>
                      <w:fldChar w:fldCharType="separate"/>
                    </w:r>
                    <w:r w:rsidR="00EC11FD">
                      <w:rPr>
                        <w:noProof/>
                      </w:rPr>
                      <w:t>1</w:t>
                    </w:r>
                    <w: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88" w:rsidRDefault="0016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FD" w:rsidRDefault="00EC11FD">
      <w:r>
        <w:separator/>
      </w:r>
    </w:p>
  </w:footnote>
  <w:footnote w:type="continuationSeparator" w:id="0">
    <w:p w:rsidR="00EC11FD" w:rsidRDefault="00EC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88" w:rsidRDefault="00162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88" w:rsidRDefault="00162388">
    <w:pPr>
      <w:pStyle w:val="Header"/>
      <w:rPr>
        <w:sz w:val="20"/>
        <w:szCs w:val="20"/>
      </w:rPr>
    </w:pPr>
    <w:r>
      <w:rPr>
        <w:sz w:val="20"/>
        <w:szCs w:val="20"/>
      </w:rPr>
      <w:t>Reine-Marie Bérard</w:t>
    </w:r>
    <w:r>
      <w:rPr>
        <w:sz w:val="20"/>
        <w:szCs w:val="20"/>
      </w:rPr>
      <w:tab/>
    </w:r>
    <w:r>
      <w:rPr>
        <w:sz w:val="20"/>
        <w:szCs w:val="20"/>
      </w:rPr>
      <w:tab/>
    </w:r>
    <w:r>
      <w:rPr>
        <w:i/>
        <w:sz w:val="20"/>
        <w:szCs w:val="20"/>
      </w:rPr>
      <w:t>Liste</w:t>
    </w:r>
    <w:r>
      <w:rPr>
        <w:sz w:val="20"/>
        <w:szCs w:val="20"/>
      </w:rPr>
      <w:t xml:space="preserve"> </w:t>
    </w:r>
    <w:r>
      <w:rPr>
        <w:i/>
        <w:sz w:val="20"/>
        <w:szCs w:val="20"/>
      </w:rPr>
      <w:t>des publications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88" w:rsidRDefault="0016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505A2"/>
    <w:multiLevelType w:val="multilevel"/>
    <w:tmpl w:val="7C1E2A58"/>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45A1DEA"/>
    <w:multiLevelType w:val="multilevel"/>
    <w:tmpl w:val="7D2A22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AC"/>
    <w:rsid w:val="00162388"/>
    <w:rsid w:val="001D6D87"/>
    <w:rsid w:val="003E7191"/>
    <w:rsid w:val="006A0A3F"/>
    <w:rsid w:val="009E0422"/>
    <w:rsid w:val="00E073AC"/>
    <w:rsid w:val="00EC11FD"/>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7E62"/>
  <w15:docId w15:val="{77ADFCD8-7628-4A05-88D4-5723DBE2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AA58A6"/>
  </w:style>
  <w:style w:type="character" w:styleId="PageNumber">
    <w:name w:val="page number"/>
    <w:uiPriority w:val="99"/>
    <w:semiHidden/>
    <w:unhideWhenUsed/>
    <w:qFormat/>
    <w:rsid w:val="00AA58A6"/>
  </w:style>
  <w:style w:type="character" w:customStyle="1" w:styleId="HeaderChar">
    <w:name w:val="Header Char"/>
    <w:basedOn w:val="DefaultParagraphFont"/>
    <w:link w:val="Header"/>
    <w:uiPriority w:val="99"/>
    <w:qFormat/>
    <w:rsid w:val="00AA58A6"/>
    <w:rPr>
      <w:rFonts w:ascii="Times New Roman" w:eastAsia="SimSun" w:hAnsi="Times New Roman" w:cs="Times New Roman"/>
      <w:lang w:val="fr-FR" w:eastAsia="zh-CN"/>
    </w:rPr>
  </w:style>
  <w:style w:type="character" w:customStyle="1" w:styleId="Heading1Char">
    <w:name w:val="Heading 1 Char"/>
    <w:basedOn w:val="DefaultParagraphFont"/>
    <w:link w:val="Heading1"/>
    <w:uiPriority w:val="9"/>
    <w:qFormat/>
    <w:rsid w:val="001554BD"/>
    <w:rPr>
      <w:rFonts w:asciiTheme="majorHAnsi" w:eastAsiaTheme="majorEastAsia" w:hAnsiTheme="majorHAnsi" w:cstheme="majorBidi"/>
      <w:b/>
      <w:bCs/>
      <w:color w:val="345A8A" w:themeColor="accent1" w:themeShade="B5"/>
      <w:sz w:val="32"/>
      <w:szCs w:val="32"/>
    </w:rPr>
  </w:style>
  <w:style w:type="character" w:customStyle="1" w:styleId="LienInternet">
    <w:name w:val="Lien Internet"/>
    <w:basedOn w:val="DefaultParagraphFont"/>
    <w:uiPriority w:val="99"/>
    <w:unhideWhenUsed/>
    <w:rsid w:val="008C57C1"/>
    <w:rPr>
      <w:color w:val="0000FF" w:themeColor="hyperlink"/>
      <w:u w:val="single"/>
    </w:rPr>
  </w:style>
  <w:style w:type="character" w:styleId="Strong">
    <w:name w:val="Strong"/>
    <w:basedOn w:val="DefaultParagraphFont"/>
    <w:uiPriority w:val="22"/>
    <w:qFormat/>
    <w:rsid w:val="00F60F70"/>
    <w:rPr>
      <w:b/>
      <w:bCs/>
    </w:rPr>
  </w:style>
  <w:style w:type="character" w:customStyle="1" w:styleId="BalloonTextChar">
    <w:name w:val="Balloon Text Char"/>
    <w:basedOn w:val="DefaultParagraphFont"/>
    <w:link w:val="BalloonText"/>
    <w:uiPriority w:val="99"/>
    <w:semiHidden/>
    <w:qFormat/>
    <w:rsid w:val="008924BF"/>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AA58A6"/>
    <w:pPr>
      <w:tabs>
        <w:tab w:val="center" w:pos="4536"/>
        <w:tab w:val="right" w:pos="9072"/>
      </w:tabs>
    </w:pPr>
  </w:style>
  <w:style w:type="paragraph" w:styleId="Header">
    <w:name w:val="header"/>
    <w:basedOn w:val="Normal"/>
    <w:link w:val="HeaderChar"/>
    <w:uiPriority w:val="99"/>
    <w:unhideWhenUsed/>
    <w:rsid w:val="00AA58A6"/>
    <w:pPr>
      <w:tabs>
        <w:tab w:val="center" w:pos="4536"/>
        <w:tab w:val="right" w:pos="9072"/>
      </w:tabs>
    </w:pPr>
    <w:rPr>
      <w:rFonts w:ascii="Times New Roman" w:eastAsia="SimSun" w:hAnsi="Times New Roman" w:cs="Times New Roman"/>
      <w:lang w:val="fr-FR" w:eastAsia="zh-CN"/>
    </w:rPr>
  </w:style>
  <w:style w:type="paragraph" w:styleId="ListParagraph">
    <w:name w:val="List Paragraph"/>
    <w:basedOn w:val="Normal"/>
    <w:uiPriority w:val="34"/>
    <w:qFormat/>
    <w:rsid w:val="007058DC"/>
    <w:pPr>
      <w:ind w:left="720"/>
      <w:contextualSpacing/>
    </w:pPr>
  </w:style>
  <w:style w:type="paragraph" w:styleId="BalloonText">
    <w:name w:val="Balloon Text"/>
    <w:basedOn w:val="Normal"/>
    <w:link w:val="BalloonTextChar"/>
    <w:uiPriority w:val="99"/>
    <w:semiHidden/>
    <w:unhideWhenUsed/>
    <w:qFormat/>
    <w:rsid w:val="008924BF"/>
    <w:rPr>
      <w:rFonts w:ascii="Tahoma" w:hAnsi="Tahoma" w:cs="Tahoma"/>
      <w:sz w:val="16"/>
      <w:szCs w:val="16"/>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mefr.hypotheses.org/168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F99E-301F-447A-B82C-19186A43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1570</Words>
  <Characters>8088</Characters>
  <Application>Microsoft Office Word</Application>
  <DocSecurity>0</DocSecurity>
  <Lines>137</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Liste des publications</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Reine-Marie Bérard</dc:creator>
  <dc:description/>
  <cp:lastModifiedBy>Reine-Marie Bérard</cp:lastModifiedBy>
  <cp:revision>4</cp:revision>
  <cp:lastPrinted>2018-01-07T11:12:00Z</cp:lastPrinted>
  <dcterms:created xsi:type="dcterms:W3CDTF">2018-08-27T11:19:00Z</dcterms:created>
  <dcterms:modified xsi:type="dcterms:W3CDTF">2018-10-03T20:23:00Z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